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5E" w:rsidRPr="00980C5E" w:rsidRDefault="00980C5E" w:rsidP="00980C5E">
      <w:pPr>
        <w:spacing w:beforeAutospacing="1" w:after="100" w:afterAutospacing="1"/>
        <w:jc w:val="center"/>
        <w:rPr>
          <w:sz w:val="28"/>
          <w:szCs w:val="28"/>
        </w:rPr>
      </w:pPr>
      <w:bookmarkStart w:id="0" w:name="_GoBack"/>
      <w:r w:rsidRPr="00980C5E">
        <w:rPr>
          <w:b/>
          <w:bCs/>
          <w:sz w:val="28"/>
          <w:szCs w:val="28"/>
        </w:rPr>
        <w:t xml:space="preserve">A Guide to Risk Taking at </w:t>
      </w:r>
      <w:proofErr w:type="spellStart"/>
      <w:r w:rsidRPr="00980C5E">
        <w:rPr>
          <w:b/>
          <w:bCs/>
          <w:sz w:val="28"/>
          <w:szCs w:val="28"/>
        </w:rPr>
        <w:t>NYSHealth</w:t>
      </w:r>
      <w:proofErr w:type="spellEnd"/>
    </w:p>
    <w:bookmarkEnd w:id="0"/>
    <w:p w:rsidR="00980C5E" w:rsidRPr="00980C5E" w:rsidRDefault="00980C5E" w:rsidP="00980C5E">
      <w:pPr>
        <w:spacing w:before="100" w:beforeAutospacing="1" w:after="100" w:afterAutospacing="1"/>
      </w:pPr>
      <w:r w:rsidRPr="00980C5E">
        <w:t xml:space="preserve">In April 2011, a group of staff met and considered the topic of risk taking in our </w:t>
      </w:r>
      <w:proofErr w:type="spellStart"/>
      <w:r w:rsidRPr="00980C5E">
        <w:t>grantmaking</w:t>
      </w:r>
      <w:proofErr w:type="spellEnd"/>
      <w:r w:rsidRPr="00980C5E">
        <w:t>. Some shared understandings emerged from the discussion, which are captured by the discussion notes below. In addition, a recommendation was made to develop a checklist (also included below) that could be used by staff to more systematically assess the potential level of risk when evaluating a proposal or project.</w:t>
      </w:r>
    </w:p>
    <w:p w:rsidR="00980C5E" w:rsidRPr="00980C5E" w:rsidRDefault="00980C5E" w:rsidP="00980C5E">
      <w:pPr>
        <w:spacing w:before="100" w:beforeAutospacing="1" w:after="100" w:afterAutospacing="1"/>
        <w:jc w:val="center"/>
      </w:pPr>
      <w:r w:rsidRPr="00980C5E">
        <w:rPr>
          <w:b/>
          <w:bCs/>
        </w:rPr>
        <w:t xml:space="preserve">What is </w:t>
      </w:r>
      <w:proofErr w:type="spellStart"/>
      <w:r w:rsidRPr="00980C5E">
        <w:rPr>
          <w:b/>
          <w:bCs/>
        </w:rPr>
        <w:t>NYSHealth’s</w:t>
      </w:r>
      <w:proofErr w:type="spellEnd"/>
      <w:r w:rsidRPr="00980C5E">
        <w:rPr>
          <w:b/>
          <w:bCs/>
        </w:rPr>
        <w:t xml:space="preserve"> definition of risk taking?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>No guaranteed returns, definite possibility that a project won’t work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>Risk is best considered along a spectrum of possibility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>It can involve “getting out of our comfort zone” by doing new things or working with unfamiliar entities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>There are different “flavors” of risk such as risk to our reputation, financial risk, the opportunity costs involved, our ability to attract/retain staff, and our relationships with partners</w:t>
      </w:r>
    </w:p>
    <w:p w:rsidR="00980C5E" w:rsidRPr="00980C5E" w:rsidRDefault="00980C5E" w:rsidP="00980C5E">
      <w:pPr>
        <w:spacing w:before="100" w:beforeAutospacing="1" w:after="100" w:afterAutospacing="1"/>
        <w:jc w:val="center"/>
      </w:pPr>
      <w:r w:rsidRPr="00980C5E">
        <w:rPr>
          <w:b/>
          <w:bCs/>
        </w:rPr>
        <w:t xml:space="preserve">Why should </w:t>
      </w:r>
      <w:proofErr w:type="spellStart"/>
      <w:r w:rsidRPr="00980C5E">
        <w:rPr>
          <w:b/>
          <w:bCs/>
        </w:rPr>
        <w:t>NYSHealth</w:t>
      </w:r>
      <w:proofErr w:type="spellEnd"/>
      <w:r w:rsidRPr="00980C5E">
        <w:rPr>
          <w:b/>
          <w:bCs/>
        </w:rPr>
        <w:t xml:space="preserve"> take risks?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>Taking a risk can produce bigger potential rewards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>Don’t take risks for the sake of taking risks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>Taking a risk can fill a gap that no one else is addressing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>Taking risks can make us a leader and improve our reputation</w:t>
      </w:r>
    </w:p>
    <w:p w:rsidR="00980C5E" w:rsidRPr="00980C5E" w:rsidRDefault="00980C5E" w:rsidP="00980C5E">
      <w:pPr>
        <w:spacing w:before="100" w:beforeAutospacing="1" w:after="100" w:afterAutospacing="1"/>
        <w:jc w:val="center"/>
      </w:pPr>
      <w:r w:rsidRPr="00980C5E">
        <w:rPr>
          <w:b/>
          <w:bCs/>
        </w:rPr>
        <w:t xml:space="preserve">When should </w:t>
      </w:r>
      <w:proofErr w:type="spellStart"/>
      <w:r w:rsidRPr="00980C5E">
        <w:rPr>
          <w:b/>
          <w:bCs/>
        </w:rPr>
        <w:t>NYSHealth</w:t>
      </w:r>
      <w:proofErr w:type="spellEnd"/>
      <w:r w:rsidRPr="00980C5E">
        <w:rPr>
          <w:b/>
          <w:bCs/>
        </w:rPr>
        <w:t xml:space="preserve"> take risks?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>When we have the ability to manage/mitigate risk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 xml:space="preserve">When </w:t>
      </w:r>
      <w:proofErr w:type="spellStart"/>
      <w:r w:rsidRPr="00980C5E">
        <w:rPr>
          <w:rFonts w:eastAsia="Times New Roman"/>
          <w:sz w:val="22"/>
          <w:szCs w:val="22"/>
        </w:rPr>
        <w:t>NYSHealth</w:t>
      </w:r>
      <w:proofErr w:type="spellEnd"/>
      <w:r w:rsidRPr="00980C5E">
        <w:rPr>
          <w:rFonts w:eastAsia="Times New Roman"/>
          <w:sz w:val="22"/>
          <w:szCs w:val="22"/>
        </w:rPr>
        <w:t xml:space="preserve"> has a unique or competitive advantage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>When it is consistent with our mission and priorities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>When an opportunity is time-sensitive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 xml:space="preserve">When </w:t>
      </w:r>
      <w:proofErr w:type="spellStart"/>
      <w:r w:rsidRPr="00980C5E">
        <w:rPr>
          <w:rFonts w:eastAsia="Times New Roman"/>
          <w:sz w:val="22"/>
          <w:szCs w:val="22"/>
        </w:rPr>
        <w:t>NYSHealth</w:t>
      </w:r>
      <w:proofErr w:type="spellEnd"/>
      <w:r w:rsidRPr="00980C5E">
        <w:rPr>
          <w:rFonts w:eastAsia="Times New Roman"/>
          <w:sz w:val="22"/>
          <w:szCs w:val="22"/>
        </w:rPr>
        <w:t xml:space="preserve"> has a track record of success to fall back on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>When it is “the right thing to do”</w:t>
      </w:r>
    </w:p>
    <w:p w:rsidR="00980C5E" w:rsidRPr="00980C5E" w:rsidRDefault="00980C5E" w:rsidP="00980C5E">
      <w:pPr>
        <w:spacing w:before="100" w:beforeAutospacing="1" w:after="100" w:afterAutospacing="1"/>
        <w:jc w:val="center"/>
      </w:pPr>
      <w:r w:rsidRPr="00980C5E">
        <w:rPr>
          <w:b/>
          <w:bCs/>
        </w:rPr>
        <w:t>A Checklist: Elements to Consider When Assessing Risk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>What is the track record and capacity of the organization?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>Are there multiple partners involved? If so, does that increase or decrease the risks involved?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>To what degree are all the details of the project worked out?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>Is the project using an untested model, or relying on something that has been proven?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>How small or large is the financial cost?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proofErr w:type="gramStart"/>
      <w:r w:rsidRPr="00980C5E">
        <w:rPr>
          <w:rFonts w:eastAsia="Times New Roman"/>
          <w:sz w:val="22"/>
          <w:szCs w:val="22"/>
        </w:rPr>
        <w:t>Are the expected outcomes short, medium, or long term</w:t>
      </w:r>
      <w:proofErr w:type="gramEnd"/>
      <w:r w:rsidRPr="00980C5E">
        <w:rPr>
          <w:rFonts w:eastAsia="Times New Roman"/>
          <w:sz w:val="22"/>
          <w:szCs w:val="22"/>
        </w:rPr>
        <w:t>?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>How easy or difficult will it be to measure impact?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>Is this a politically sensitive topic?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>What factors in the external environment could influence the project?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>What changes in circumstances could potentially affect the project?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 xml:space="preserve">How much internal expertise does </w:t>
      </w:r>
      <w:proofErr w:type="spellStart"/>
      <w:r w:rsidRPr="00980C5E">
        <w:rPr>
          <w:rFonts w:eastAsia="Times New Roman"/>
          <w:sz w:val="22"/>
          <w:szCs w:val="22"/>
        </w:rPr>
        <w:t>NYSHealth</w:t>
      </w:r>
      <w:proofErr w:type="spellEnd"/>
      <w:r w:rsidRPr="00980C5E">
        <w:rPr>
          <w:rFonts w:eastAsia="Times New Roman"/>
          <w:sz w:val="22"/>
          <w:szCs w:val="22"/>
        </w:rPr>
        <w:t xml:space="preserve"> have in this area?</w:t>
      </w:r>
    </w:p>
    <w:p w:rsidR="00980C5E" w:rsidRPr="00980C5E" w:rsidRDefault="00980C5E" w:rsidP="00980C5E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980C5E">
        <w:rPr>
          <w:rFonts w:eastAsia="Times New Roman"/>
          <w:sz w:val="22"/>
          <w:szCs w:val="22"/>
        </w:rPr>
        <w:t>How certain is the sustainability of a project, if sustainability is an applicable goal?</w:t>
      </w:r>
    </w:p>
    <w:sectPr w:rsidR="00980C5E" w:rsidRPr="00980C5E" w:rsidSect="00980C5E">
      <w:footerReference w:type="default" r:id="rId8"/>
      <w:pgSz w:w="12240" w:h="15840"/>
      <w:pgMar w:top="1080" w:right="1296" w:bottom="864" w:left="1296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5E" w:rsidRDefault="00980C5E" w:rsidP="00980C5E">
      <w:r>
        <w:separator/>
      </w:r>
    </w:p>
  </w:endnote>
  <w:endnote w:type="continuationSeparator" w:id="0">
    <w:p w:rsidR="00980C5E" w:rsidRDefault="00980C5E" w:rsidP="0098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5E" w:rsidRPr="00980C5E" w:rsidRDefault="00980C5E" w:rsidP="00980C5E">
    <w:pPr>
      <w:pStyle w:val="Heading2"/>
      <w:rPr>
        <w:rFonts w:ascii="Arial" w:eastAsia="Times New Roman" w:hAnsi="Arial"/>
        <w:b w:val="0"/>
        <w:i/>
        <w:sz w:val="20"/>
        <w:szCs w:val="20"/>
      </w:rPr>
    </w:pPr>
    <w:r w:rsidRPr="00980C5E">
      <w:rPr>
        <w:rFonts w:ascii="Arial" w:hAnsi="Arial"/>
        <w:b w:val="0"/>
        <w:i/>
        <w:sz w:val="20"/>
        <w:szCs w:val="20"/>
      </w:rPr>
      <w:t xml:space="preserve">Originally published </w:t>
    </w:r>
    <w:r>
      <w:rPr>
        <w:rFonts w:ascii="Arial" w:hAnsi="Arial"/>
        <w:b w:val="0"/>
        <w:i/>
        <w:sz w:val="20"/>
        <w:szCs w:val="20"/>
      </w:rPr>
      <w:t xml:space="preserve">on June 5, 2013 </w:t>
    </w:r>
    <w:r w:rsidRPr="00980C5E">
      <w:rPr>
        <w:rFonts w:ascii="Arial" w:hAnsi="Arial"/>
        <w:b w:val="0"/>
        <w:i/>
        <w:sz w:val="20"/>
        <w:szCs w:val="20"/>
      </w:rPr>
      <w:t>in the article, “</w:t>
    </w:r>
    <w:hyperlink r:id="rId1" w:history="1">
      <w:r w:rsidRPr="00980C5E">
        <w:rPr>
          <w:rFonts w:ascii="Arial" w:eastAsia="Times New Roman" w:hAnsi="Arial"/>
          <w:b w:val="0"/>
          <w:i/>
          <w:color w:val="0000FF"/>
          <w:sz w:val="20"/>
          <w:szCs w:val="20"/>
          <w:u w:val="single"/>
        </w:rPr>
        <w:t>Nothing Ventured? A Hard Look at Risk Taking</w:t>
      </w:r>
    </w:hyperlink>
    <w:r w:rsidRPr="00980C5E">
      <w:rPr>
        <w:rFonts w:ascii="Arial" w:eastAsia="Times New Roman" w:hAnsi="Arial"/>
        <w:b w:val="0"/>
        <w:i/>
        <w:sz w:val="20"/>
        <w:szCs w:val="20"/>
      </w:rPr>
      <w:t>,” available on the Center for Effective Philanthropy blog.</w:t>
    </w:r>
  </w:p>
  <w:p w:rsidR="00980C5E" w:rsidRDefault="00980C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5E" w:rsidRDefault="00980C5E" w:rsidP="00980C5E">
      <w:r>
        <w:separator/>
      </w:r>
    </w:p>
  </w:footnote>
  <w:footnote w:type="continuationSeparator" w:id="0">
    <w:p w:rsidR="00980C5E" w:rsidRDefault="00980C5E" w:rsidP="0098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618"/>
    <w:multiLevelType w:val="multilevel"/>
    <w:tmpl w:val="0242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F7080"/>
    <w:multiLevelType w:val="multilevel"/>
    <w:tmpl w:val="580C176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">
    <w:nsid w:val="5B6A4879"/>
    <w:multiLevelType w:val="multilevel"/>
    <w:tmpl w:val="1CC2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63663"/>
    <w:multiLevelType w:val="multilevel"/>
    <w:tmpl w:val="3F64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5E"/>
    <w:rsid w:val="00974AD3"/>
    <w:rsid w:val="00980C5E"/>
    <w:rsid w:val="00C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0F1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0C5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C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80C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0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C5E"/>
  </w:style>
  <w:style w:type="paragraph" w:styleId="Footer">
    <w:name w:val="footer"/>
    <w:basedOn w:val="Normal"/>
    <w:link w:val="FooterChar"/>
    <w:uiPriority w:val="99"/>
    <w:unhideWhenUsed/>
    <w:rsid w:val="00980C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5E"/>
  </w:style>
  <w:style w:type="character" w:customStyle="1" w:styleId="Heading2Char">
    <w:name w:val="Heading 2 Char"/>
    <w:basedOn w:val="DefaultParagraphFont"/>
    <w:link w:val="Heading2"/>
    <w:uiPriority w:val="9"/>
    <w:rsid w:val="00980C5E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80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0C5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C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80C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0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C5E"/>
  </w:style>
  <w:style w:type="paragraph" w:styleId="Footer">
    <w:name w:val="footer"/>
    <w:basedOn w:val="Normal"/>
    <w:link w:val="FooterChar"/>
    <w:uiPriority w:val="99"/>
    <w:unhideWhenUsed/>
    <w:rsid w:val="00980C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5E"/>
  </w:style>
  <w:style w:type="character" w:customStyle="1" w:styleId="Heading2Char">
    <w:name w:val="Heading 2 Char"/>
    <w:basedOn w:val="DefaultParagraphFont"/>
    <w:link w:val="Heading2"/>
    <w:uiPriority w:val="9"/>
    <w:rsid w:val="00980C5E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80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7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fectivephilanthropy.org/nothing-ventured-a-hard-look-at-risk-ta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1978</Characters>
  <Application>Microsoft Macintosh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Born</dc:creator>
  <cp:keywords/>
  <dc:description/>
  <cp:lastModifiedBy>Jason Born</cp:lastModifiedBy>
  <cp:revision>1</cp:revision>
  <dcterms:created xsi:type="dcterms:W3CDTF">2016-05-05T14:36:00Z</dcterms:created>
  <dcterms:modified xsi:type="dcterms:W3CDTF">2016-05-05T14:41:00Z</dcterms:modified>
</cp:coreProperties>
</file>