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80DB7" w14:textId="77777777" w:rsidR="00794151" w:rsidRPr="00C81FEE" w:rsidRDefault="00A764C4" w:rsidP="00A764C4">
      <w:pPr>
        <w:spacing w:after="0" w:line="240" w:lineRule="auto"/>
        <w:jc w:val="center"/>
        <w:rPr>
          <w:b/>
        </w:rPr>
      </w:pPr>
      <w:r w:rsidRPr="00C81FEE">
        <w:rPr>
          <w:b/>
        </w:rPr>
        <w:t xml:space="preserve">THE </w:t>
      </w:r>
      <w:r w:rsidR="00C81FEE" w:rsidRPr="00C81FEE">
        <w:rPr>
          <w:b/>
        </w:rPr>
        <w:t>XYZ</w:t>
      </w:r>
      <w:r w:rsidRPr="00C81FEE">
        <w:rPr>
          <w:b/>
        </w:rPr>
        <w:t xml:space="preserve"> FOUNDATION</w:t>
      </w:r>
      <w:r w:rsidR="00C81FEE" w:rsidRPr="00C81FEE">
        <w:rPr>
          <w:b/>
        </w:rPr>
        <w:t xml:space="preserve"> INVESTMENT POLICY</w:t>
      </w:r>
    </w:p>
    <w:p w14:paraId="00B2D91C" w14:textId="77777777" w:rsidR="00A764C4" w:rsidRDefault="00A764C4" w:rsidP="00957D52">
      <w:pPr>
        <w:spacing w:after="0" w:line="240" w:lineRule="auto"/>
      </w:pPr>
    </w:p>
    <w:p w14:paraId="683FC06A" w14:textId="77777777" w:rsidR="00957D52" w:rsidRDefault="00957D52" w:rsidP="00957D52">
      <w:pPr>
        <w:spacing w:after="0" w:line="240" w:lineRule="auto"/>
      </w:pPr>
      <w:r w:rsidRPr="00A764C4">
        <w:t>I.  INTRODUCTION</w:t>
      </w:r>
    </w:p>
    <w:p w14:paraId="70C59A04" w14:textId="77777777" w:rsidR="00504DD9" w:rsidRPr="00A764C4" w:rsidRDefault="00504DD9" w:rsidP="00957D52">
      <w:pPr>
        <w:spacing w:after="0" w:line="240" w:lineRule="auto"/>
      </w:pPr>
    </w:p>
    <w:p w14:paraId="67B28C41" w14:textId="77777777" w:rsidR="00957D52" w:rsidRPr="00A764C4" w:rsidRDefault="00957D52" w:rsidP="00957D52">
      <w:pPr>
        <w:spacing w:after="0" w:line="240" w:lineRule="auto"/>
      </w:pPr>
      <w:r w:rsidRPr="00A764C4">
        <w:t xml:space="preserve">The </w:t>
      </w:r>
      <w:r w:rsidR="00C81FEE">
        <w:t>XYZ Foundation</w:t>
      </w:r>
      <w:r w:rsidR="00FD451F" w:rsidRPr="00A764C4">
        <w:t xml:space="preserve"> (the “Foundation”)</w:t>
      </w:r>
      <w:r w:rsidRPr="00A764C4">
        <w:t xml:space="preserve"> is a not-for profit charitable organization incorporated in the state of </w:t>
      </w:r>
      <w:r w:rsidR="00C81FEE">
        <w:t>XYZ</w:t>
      </w:r>
      <w:r w:rsidRPr="00A764C4">
        <w:t xml:space="preserve"> and is exempt from federal income tax under Section 501(c</w:t>
      </w:r>
      <w:r w:rsidR="001670C8" w:rsidRPr="00A764C4">
        <w:t>) (</w:t>
      </w:r>
      <w:r w:rsidRPr="00A764C4">
        <w:t>3) of the Internal Revenue Code.</w:t>
      </w:r>
      <w:r w:rsidR="00EA7058" w:rsidRPr="00A764C4">
        <w:t xml:space="preserve">  </w:t>
      </w:r>
      <w:r w:rsidR="00726E68" w:rsidRPr="00A764C4">
        <w:t xml:space="preserve">The Foundation is committed to </w:t>
      </w:r>
      <w:r w:rsidR="0065312E" w:rsidRPr="00A764C4">
        <w:t>philanthropy best practices</w:t>
      </w:r>
      <w:r w:rsidR="00DE648F" w:rsidRPr="00A764C4">
        <w:t xml:space="preserve"> i</w:t>
      </w:r>
      <w:r w:rsidR="00EA7058" w:rsidRPr="00A764C4">
        <w:t>n order to fulfill</w:t>
      </w:r>
      <w:r w:rsidR="00203CF3" w:rsidRPr="00A764C4">
        <w:t xml:space="preserve"> it</w:t>
      </w:r>
      <w:r w:rsidR="00726E68" w:rsidRPr="00A764C4">
        <w:t>s</w:t>
      </w:r>
      <w:r w:rsidR="00EA7058" w:rsidRPr="00A764C4">
        <w:t xml:space="preserve"> mission </w:t>
      </w:r>
      <w:r w:rsidR="00974D24" w:rsidRPr="00A764C4">
        <w:t>of</w:t>
      </w:r>
      <w:r w:rsidR="00EA7058" w:rsidRPr="00A764C4">
        <w:t xml:space="preserve"> honor</w:t>
      </w:r>
      <w:r w:rsidR="00974D24" w:rsidRPr="00A764C4">
        <w:t>ing</w:t>
      </w:r>
      <w:r w:rsidR="00EA7058" w:rsidRPr="00A764C4">
        <w:t xml:space="preserve"> donor intent and serv</w:t>
      </w:r>
      <w:r w:rsidR="00974D24" w:rsidRPr="00A764C4">
        <w:t>ing</w:t>
      </w:r>
      <w:r w:rsidR="00EA7058" w:rsidRPr="00A764C4">
        <w:t xml:space="preserve"> </w:t>
      </w:r>
      <w:r w:rsidR="0065312E" w:rsidRPr="00A764C4">
        <w:t>the</w:t>
      </w:r>
      <w:r w:rsidR="00EA7058" w:rsidRPr="00A764C4">
        <w:t xml:space="preserve"> ch</w:t>
      </w:r>
      <w:r w:rsidR="00DE648F" w:rsidRPr="00A764C4">
        <w:t xml:space="preserve">aritable needs </w:t>
      </w:r>
      <w:r w:rsidR="007C3FBF" w:rsidRPr="00A764C4">
        <w:t>of</w:t>
      </w:r>
      <w:r w:rsidR="00DE648F" w:rsidRPr="00A764C4">
        <w:t xml:space="preserve"> </w:t>
      </w:r>
      <w:r w:rsidR="00C81FEE">
        <w:t>our community</w:t>
      </w:r>
      <w:r w:rsidR="00EA7058" w:rsidRPr="00A764C4">
        <w:t>.</w:t>
      </w:r>
    </w:p>
    <w:p w14:paraId="47BB7CBE" w14:textId="77777777" w:rsidR="00D16CA2" w:rsidRPr="00A764C4" w:rsidRDefault="00D16CA2" w:rsidP="00957D52">
      <w:pPr>
        <w:spacing w:after="0" w:line="240" w:lineRule="auto"/>
      </w:pPr>
    </w:p>
    <w:p w14:paraId="7EAD6AC6" w14:textId="77777777" w:rsidR="00D16CA2" w:rsidRDefault="000E7FA8" w:rsidP="00D16CA2">
      <w:pPr>
        <w:spacing w:after="0" w:line="240" w:lineRule="auto"/>
      </w:pPr>
      <w:r w:rsidRPr="00A764C4">
        <w:t>II GOALS</w:t>
      </w:r>
    </w:p>
    <w:p w14:paraId="5DE62165" w14:textId="77777777" w:rsidR="00504DD9" w:rsidRPr="00A764C4" w:rsidRDefault="00504DD9" w:rsidP="00D16CA2">
      <w:pPr>
        <w:spacing w:after="0" w:line="240" w:lineRule="auto"/>
      </w:pPr>
      <w:bookmarkStart w:id="0" w:name="_GoBack"/>
      <w:bookmarkEnd w:id="0"/>
    </w:p>
    <w:p w14:paraId="609BF615" w14:textId="77777777" w:rsidR="00794151" w:rsidRPr="00A764C4" w:rsidRDefault="00794151" w:rsidP="00D16CA2">
      <w:pPr>
        <w:spacing w:after="0" w:line="240" w:lineRule="auto"/>
      </w:pPr>
      <w:r w:rsidRPr="00A764C4">
        <w:t xml:space="preserve">The </w:t>
      </w:r>
      <w:r w:rsidR="00974D24" w:rsidRPr="00A764C4">
        <w:t>Investment policy</w:t>
      </w:r>
      <w:r w:rsidR="00726E68" w:rsidRPr="00A764C4">
        <w:t xml:space="preserve"> seeks to:</w:t>
      </w:r>
    </w:p>
    <w:p w14:paraId="5A3C6E07" w14:textId="77777777" w:rsidR="00794151" w:rsidRPr="00A764C4" w:rsidRDefault="00794151" w:rsidP="00794151">
      <w:pPr>
        <w:pStyle w:val="ListParagraph"/>
        <w:numPr>
          <w:ilvl w:val="0"/>
          <w:numId w:val="4"/>
        </w:numPr>
        <w:spacing w:after="0" w:line="240" w:lineRule="auto"/>
      </w:pPr>
      <w:r w:rsidRPr="00A764C4">
        <w:t>Preserve and protect the Foundation’s assets;</w:t>
      </w:r>
    </w:p>
    <w:p w14:paraId="5B55D9AF" w14:textId="77777777" w:rsidR="00794151" w:rsidRPr="00A764C4" w:rsidRDefault="00794151" w:rsidP="00794151">
      <w:pPr>
        <w:pStyle w:val="ListParagraph"/>
        <w:numPr>
          <w:ilvl w:val="0"/>
          <w:numId w:val="4"/>
        </w:numPr>
        <w:spacing w:after="0" w:line="240" w:lineRule="auto"/>
      </w:pPr>
      <w:r w:rsidRPr="00A764C4">
        <w:t>Maintain liquidity to meet the Foundation’s operating requirements; and</w:t>
      </w:r>
    </w:p>
    <w:p w14:paraId="078CF1EF" w14:textId="77777777" w:rsidR="00794151" w:rsidRPr="00A764C4" w:rsidRDefault="00794151" w:rsidP="00794151">
      <w:pPr>
        <w:pStyle w:val="ListParagraph"/>
        <w:numPr>
          <w:ilvl w:val="0"/>
          <w:numId w:val="4"/>
        </w:numPr>
        <w:spacing w:after="0" w:line="240" w:lineRule="auto"/>
      </w:pPr>
      <w:r w:rsidRPr="00A764C4">
        <w:t>Earn an appropriate return on investments</w:t>
      </w:r>
    </w:p>
    <w:p w14:paraId="452A0BC1" w14:textId="77777777" w:rsidR="00C81FEE" w:rsidRDefault="00C81FEE" w:rsidP="00D16CA2">
      <w:pPr>
        <w:spacing w:after="0" w:line="240" w:lineRule="auto"/>
      </w:pPr>
    </w:p>
    <w:p w14:paraId="7911D236" w14:textId="77777777" w:rsidR="00726E68" w:rsidRPr="00A764C4" w:rsidRDefault="00D16CA2" w:rsidP="00D16CA2">
      <w:pPr>
        <w:spacing w:after="0" w:line="240" w:lineRule="auto"/>
      </w:pPr>
      <w:r w:rsidRPr="00A764C4">
        <w:t xml:space="preserve">All transactions must be undertaken for the sole interest of the Foundation and its beneficiaries.  The assets must be invested with the safeguards to which a prudent person would </w:t>
      </w:r>
      <w:r w:rsidR="001670C8" w:rsidRPr="00A764C4">
        <w:t>adhere.</w:t>
      </w:r>
      <w:r w:rsidR="00E85FC7" w:rsidRPr="00A764C4">
        <w:t xml:space="preserve"> </w:t>
      </w:r>
    </w:p>
    <w:p w14:paraId="3BBA5F6C" w14:textId="77777777" w:rsidR="00661216" w:rsidRPr="00A764C4" w:rsidRDefault="00661216" w:rsidP="00D16CA2">
      <w:pPr>
        <w:spacing w:after="0" w:line="240" w:lineRule="auto"/>
      </w:pPr>
    </w:p>
    <w:p w14:paraId="77EB8B2C" w14:textId="77777777" w:rsidR="008518B7" w:rsidRDefault="001670C8" w:rsidP="00957D52">
      <w:pPr>
        <w:spacing w:after="0" w:line="240" w:lineRule="auto"/>
      </w:pPr>
      <w:r w:rsidRPr="00A764C4">
        <w:t>II</w:t>
      </w:r>
      <w:r w:rsidR="00423AEC" w:rsidRPr="00A764C4">
        <w:t>I</w:t>
      </w:r>
      <w:r w:rsidRPr="00A764C4">
        <w:t xml:space="preserve"> PURPOSE</w:t>
      </w:r>
    </w:p>
    <w:p w14:paraId="22470821" w14:textId="77777777" w:rsidR="00504DD9" w:rsidRPr="00A764C4" w:rsidRDefault="00504DD9" w:rsidP="00957D52">
      <w:pPr>
        <w:spacing w:after="0" w:line="240" w:lineRule="auto"/>
      </w:pPr>
    </w:p>
    <w:p w14:paraId="1A0F9842" w14:textId="77777777" w:rsidR="008518B7" w:rsidRPr="00A764C4" w:rsidRDefault="008518B7" w:rsidP="00957D52">
      <w:pPr>
        <w:spacing w:after="0" w:line="240" w:lineRule="auto"/>
      </w:pPr>
      <w:r w:rsidRPr="00A764C4">
        <w:t>This Statement of Investment Policy</w:t>
      </w:r>
      <w:r w:rsidR="004922C5" w:rsidRPr="00A764C4">
        <w:t xml:space="preserve"> is meant to</w:t>
      </w:r>
      <w:r w:rsidR="00661216" w:rsidRPr="00A764C4">
        <w:t xml:space="preserve"> provide guidance for the Foundation rather than dictate a rigid policy.</w:t>
      </w:r>
    </w:p>
    <w:p w14:paraId="6350CD47" w14:textId="77777777" w:rsidR="00D16CA2" w:rsidRPr="00A764C4" w:rsidRDefault="00D16CA2" w:rsidP="00BE6160">
      <w:pPr>
        <w:pStyle w:val="ListParagraph"/>
        <w:spacing w:after="0" w:line="240" w:lineRule="auto"/>
      </w:pPr>
      <w:r w:rsidRPr="00A764C4">
        <w:t xml:space="preserve">A. </w:t>
      </w:r>
      <w:r w:rsidR="00DE648F" w:rsidRPr="00A764C4">
        <w:t xml:space="preserve">Describe the </w:t>
      </w:r>
      <w:r w:rsidR="00172AEF" w:rsidRPr="00A764C4">
        <w:t>role of the Board of D</w:t>
      </w:r>
      <w:r w:rsidRPr="00A764C4">
        <w:t>irectors, the investment</w:t>
      </w:r>
      <w:r w:rsidR="00661216" w:rsidRPr="00A764C4">
        <w:t>/finance</w:t>
      </w:r>
      <w:r w:rsidRPr="00A764C4">
        <w:t xml:space="preserve"> committee and investment </w:t>
      </w:r>
      <w:r w:rsidR="00DE648F" w:rsidRPr="00A764C4">
        <w:t>advisor</w:t>
      </w:r>
    </w:p>
    <w:p w14:paraId="2DE00A90" w14:textId="77777777" w:rsidR="008518B7" w:rsidRPr="00A764C4" w:rsidRDefault="00D16CA2" w:rsidP="00BE6160">
      <w:pPr>
        <w:pStyle w:val="ListParagraph"/>
        <w:spacing w:after="0" w:line="240" w:lineRule="auto"/>
      </w:pPr>
      <w:r w:rsidRPr="00A764C4">
        <w:t xml:space="preserve">B. </w:t>
      </w:r>
      <w:r w:rsidR="00DE648F" w:rsidRPr="00A764C4">
        <w:t>Outline g</w:t>
      </w:r>
      <w:r w:rsidR="008518B7" w:rsidRPr="00A764C4">
        <w:t>uidelines for the investment of the Foundation’s assets</w:t>
      </w:r>
    </w:p>
    <w:p w14:paraId="07021420" w14:textId="77777777" w:rsidR="00D16CA2" w:rsidRPr="00A764C4" w:rsidRDefault="00D16CA2" w:rsidP="00BE6160">
      <w:pPr>
        <w:pStyle w:val="ListParagraph"/>
        <w:spacing w:after="0" w:line="240" w:lineRule="auto"/>
      </w:pPr>
      <w:r w:rsidRPr="00A764C4">
        <w:t xml:space="preserve">C. </w:t>
      </w:r>
      <w:r w:rsidR="00DE648F" w:rsidRPr="00A764C4">
        <w:t>List p</w:t>
      </w:r>
      <w:r w:rsidRPr="00A764C4">
        <w:t>arameters and benchmarks for selecting appropriate investments.</w:t>
      </w:r>
    </w:p>
    <w:p w14:paraId="75CAD2FC" w14:textId="77777777" w:rsidR="00D16CA2" w:rsidRPr="00A764C4" w:rsidRDefault="008518B7" w:rsidP="00957D52">
      <w:pPr>
        <w:spacing w:after="0" w:line="240" w:lineRule="auto"/>
      </w:pPr>
      <w:r w:rsidRPr="00A764C4">
        <w:t xml:space="preserve">    </w:t>
      </w:r>
    </w:p>
    <w:p w14:paraId="010CF2B4" w14:textId="77777777" w:rsidR="00D16CA2" w:rsidRDefault="00D16CA2" w:rsidP="00D16CA2">
      <w:pPr>
        <w:spacing w:after="0" w:line="240" w:lineRule="auto"/>
        <w:rPr>
          <w:b/>
        </w:rPr>
      </w:pPr>
      <w:r w:rsidRPr="00A764C4">
        <w:t xml:space="preserve">     A</w:t>
      </w:r>
      <w:r w:rsidRPr="00A764C4">
        <w:rPr>
          <w:b/>
        </w:rPr>
        <w:t>.  Role of the Board of D</w:t>
      </w:r>
      <w:r w:rsidR="00265708" w:rsidRPr="00A764C4">
        <w:rPr>
          <w:b/>
        </w:rPr>
        <w:t>irectors, committees, and advisor</w:t>
      </w:r>
    </w:p>
    <w:p w14:paraId="68C79F42" w14:textId="77777777" w:rsidR="00504DD9" w:rsidRPr="00A764C4" w:rsidRDefault="00504DD9" w:rsidP="00D16CA2">
      <w:pPr>
        <w:spacing w:after="0" w:line="240" w:lineRule="auto"/>
      </w:pPr>
    </w:p>
    <w:p w14:paraId="4D3585D6" w14:textId="77777777" w:rsidR="0029205F" w:rsidRDefault="00D16CA2" w:rsidP="006F6AD8">
      <w:pPr>
        <w:pStyle w:val="ListParagraph"/>
        <w:numPr>
          <w:ilvl w:val="0"/>
          <w:numId w:val="3"/>
        </w:numPr>
        <w:spacing w:after="0" w:line="240" w:lineRule="auto"/>
      </w:pPr>
      <w:r w:rsidRPr="00A764C4">
        <w:t xml:space="preserve">The Board of Directors may delegate monitoring of the assets to </w:t>
      </w:r>
      <w:r w:rsidR="00661216" w:rsidRPr="00A764C4">
        <w:t>an</w:t>
      </w:r>
      <w:r w:rsidRPr="00A764C4">
        <w:t xml:space="preserve"> Investment Committee</w:t>
      </w:r>
      <w:r w:rsidR="00661216" w:rsidRPr="00A764C4">
        <w:t xml:space="preserve"> comprised of community volunteers with expertise in investments, Foundation staff and board members.  In the absence of an Investment Committee the Finance Committee, </w:t>
      </w:r>
      <w:r w:rsidR="00265708" w:rsidRPr="00A764C4">
        <w:t>will</w:t>
      </w:r>
      <w:r w:rsidR="00661216" w:rsidRPr="00A764C4">
        <w:t xml:space="preserve"> </w:t>
      </w:r>
    </w:p>
    <w:p w14:paraId="195C4666" w14:textId="77777777" w:rsidR="0048416C" w:rsidRPr="00A764C4" w:rsidRDefault="00661216" w:rsidP="006F6AD8">
      <w:pPr>
        <w:pStyle w:val="ListParagraph"/>
        <w:numPr>
          <w:ilvl w:val="0"/>
          <w:numId w:val="3"/>
        </w:numPr>
        <w:spacing w:after="0" w:line="240" w:lineRule="auto"/>
      </w:pPr>
      <w:proofErr w:type="gramStart"/>
      <w:r w:rsidRPr="00A764C4">
        <w:t>assume</w:t>
      </w:r>
      <w:proofErr w:type="gramEnd"/>
      <w:r w:rsidRPr="00A764C4">
        <w:t xml:space="preserve"> this duty.</w:t>
      </w:r>
    </w:p>
    <w:p w14:paraId="040580DD" w14:textId="77777777" w:rsidR="0029205F" w:rsidRDefault="0048416C" w:rsidP="006F6AD8">
      <w:pPr>
        <w:pStyle w:val="ListParagraph"/>
        <w:numPr>
          <w:ilvl w:val="0"/>
          <w:numId w:val="3"/>
        </w:numPr>
        <w:spacing w:after="0" w:line="240" w:lineRule="auto"/>
      </w:pPr>
      <w:r w:rsidRPr="0029205F">
        <w:t>The Board of Directors</w:t>
      </w:r>
      <w:r w:rsidR="000537C7" w:rsidRPr="0029205F">
        <w:t xml:space="preserve"> must approve</w:t>
      </w:r>
      <w:r w:rsidR="007D7F97" w:rsidRPr="0029205F">
        <w:t xml:space="preserve"> </w:t>
      </w:r>
      <w:r w:rsidR="000537C7" w:rsidRPr="0029205F">
        <w:t>any</w:t>
      </w:r>
      <w:r w:rsidRPr="0029205F">
        <w:t xml:space="preserve"> dis</w:t>
      </w:r>
      <w:r w:rsidR="00641614" w:rsidRPr="0029205F">
        <w:t>bursement</w:t>
      </w:r>
      <w:r w:rsidR="007606EE" w:rsidRPr="0029205F">
        <w:t>s from the i</w:t>
      </w:r>
      <w:r w:rsidR="00E06CF5" w:rsidRPr="0029205F">
        <w:t>nvestment account.</w:t>
      </w:r>
    </w:p>
    <w:p w14:paraId="622D4E8A" w14:textId="77777777" w:rsidR="00D16CA2" w:rsidRPr="0029205F" w:rsidRDefault="007606EE" w:rsidP="0029205F">
      <w:pPr>
        <w:pStyle w:val="ListParagraph"/>
        <w:numPr>
          <w:ilvl w:val="0"/>
          <w:numId w:val="3"/>
        </w:numPr>
      </w:pPr>
      <w:r w:rsidRPr="0029205F">
        <w:t>The Board of Directors will approve the recommendations of money managers as proposed by the investment advisor.  The professional money managers will make the individual security decisions within their respective portfolios.  The Board of Directors reserves the right to request to exclude specific individual securities from separately managed accounts.  This option is not available with mutual funds.</w:t>
      </w:r>
    </w:p>
    <w:p w14:paraId="7F2ADD12" w14:textId="77777777" w:rsidR="007606EE" w:rsidRPr="0029205F" w:rsidRDefault="007606EE" w:rsidP="0029205F">
      <w:pPr>
        <w:pStyle w:val="ListParagraph"/>
        <w:numPr>
          <w:ilvl w:val="0"/>
          <w:numId w:val="3"/>
        </w:numPr>
      </w:pPr>
      <w:r w:rsidRPr="0029205F">
        <w:t>The Investment Committee will meet at least twice per year to review investment performance.  The Investment Committee reserves the right to recommend modifications to the Board of Directors for approval regarding changes to asset allocation target and range percentages.</w:t>
      </w:r>
    </w:p>
    <w:p w14:paraId="2A6FECAF" w14:textId="77777777" w:rsidR="00CA5A1D" w:rsidRPr="00A764C4" w:rsidRDefault="00CA5A1D" w:rsidP="006F6AD8">
      <w:pPr>
        <w:pStyle w:val="ListParagraph"/>
        <w:numPr>
          <w:ilvl w:val="0"/>
          <w:numId w:val="3"/>
        </w:numPr>
        <w:spacing w:after="0" w:line="240" w:lineRule="auto"/>
      </w:pPr>
      <w:r w:rsidRPr="00A764C4">
        <w:t>The Committee m</w:t>
      </w:r>
      <w:r w:rsidR="00265708" w:rsidRPr="00A764C4">
        <w:t>ay terminate investment advisors</w:t>
      </w:r>
      <w:r w:rsidRPr="00A764C4">
        <w:t xml:space="preserve"> who do not adequate</w:t>
      </w:r>
      <w:r w:rsidR="00265708" w:rsidRPr="00A764C4">
        <w:t>ly</w:t>
      </w:r>
      <w:r w:rsidRPr="00A764C4">
        <w:t xml:space="preserve"> discharge their </w:t>
      </w:r>
      <w:r w:rsidR="00516989" w:rsidRPr="00A764C4">
        <w:t>duties</w:t>
      </w:r>
      <w:r w:rsidRPr="00A764C4">
        <w:t>, including, but not limited to</w:t>
      </w:r>
      <w:r w:rsidR="0065312E" w:rsidRPr="00A764C4">
        <w:t>,</w:t>
      </w:r>
      <w:r w:rsidRPr="00A764C4">
        <w:t xml:space="preserve"> failure to meet the investment objectives, failure to </w:t>
      </w:r>
      <w:r w:rsidRPr="00A764C4">
        <w:lastRenderedPageBreak/>
        <w:t xml:space="preserve">adhere to the investment guidelines or </w:t>
      </w:r>
      <w:r w:rsidR="00516989" w:rsidRPr="00A764C4">
        <w:t>failure</w:t>
      </w:r>
      <w:r w:rsidRPr="00A764C4">
        <w:t xml:space="preserve"> to </w:t>
      </w:r>
      <w:r w:rsidR="00661216" w:rsidRPr="00A764C4">
        <w:t>adequately communicate with the</w:t>
      </w:r>
      <w:r w:rsidRPr="00A764C4">
        <w:t xml:space="preserve"> Committee.</w:t>
      </w:r>
    </w:p>
    <w:p w14:paraId="22D7B3D7" w14:textId="77777777" w:rsidR="00CA5A1D" w:rsidRPr="00A764C4" w:rsidRDefault="00661216" w:rsidP="00CA5A1D">
      <w:pPr>
        <w:pStyle w:val="ListParagraph"/>
        <w:numPr>
          <w:ilvl w:val="0"/>
          <w:numId w:val="3"/>
        </w:numPr>
        <w:spacing w:after="0" w:line="240" w:lineRule="auto"/>
      </w:pPr>
      <w:r w:rsidRPr="00A764C4">
        <w:t>The Committee</w:t>
      </w:r>
      <w:r w:rsidR="00CA5A1D" w:rsidRPr="00A764C4">
        <w:t xml:space="preserve"> will report to the Board not less than annually on the status of the investments, evaluation of</w:t>
      </w:r>
      <w:r w:rsidR="00A35EE6" w:rsidRPr="00A764C4">
        <w:t xml:space="preserve"> the</w:t>
      </w:r>
      <w:r w:rsidR="00CA5A1D" w:rsidRPr="00A764C4">
        <w:t xml:space="preserve"> investmen</w:t>
      </w:r>
      <w:r w:rsidR="00516989" w:rsidRPr="00A764C4">
        <w:t>t</w:t>
      </w:r>
      <w:r w:rsidR="00CA5A1D" w:rsidRPr="00A764C4">
        <w:t xml:space="preserve"> </w:t>
      </w:r>
      <w:r w:rsidR="00A35EE6" w:rsidRPr="00A764C4">
        <w:t xml:space="preserve">advisor, </w:t>
      </w:r>
      <w:r w:rsidR="00CA5A1D" w:rsidRPr="00A764C4">
        <w:t xml:space="preserve">and recommendations for </w:t>
      </w:r>
      <w:r w:rsidR="00516989" w:rsidRPr="00A764C4">
        <w:t>changes</w:t>
      </w:r>
      <w:r w:rsidR="00CA5A1D" w:rsidRPr="00A764C4">
        <w:t xml:space="preserve"> in investment policy to be approved by the Board.</w:t>
      </w:r>
    </w:p>
    <w:p w14:paraId="481B16C5" w14:textId="77777777" w:rsidR="00C81FEE" w:rsidRDefault="000E7FA8" w:rsidP="00CA5A1D">
      <w:pPr>
        <w:spacing w:after="0" w:line="240" w:lineRule="auto"/>
        <w:ind w:left="204"/>
      </w:pPr>
      <w:r w:rsidRPr="00A764C4">
        <w:tab/>
      </w:r>
    </w:p>
    <w:p w14:paraId="52457156" w14:textId="77777777" w:rsidR="00CA5A1D" w:rsidRPr="00A764C4" w:rsidRDefault="00CA5A1D" w:rsidP="00CA5A1D">
      <w:pPr>
        <w:spacing w:after="0" w:line="240" w:lineRule="auto"/>
        <w:ind w:left="204"/>
      </w:pPr>
      <w:r w:rsidRPr="00A764C4">
        <w:t xml:space="preserve">Investment Advisor </w:t>
      </w:r>
    </w:p>
    <w:p w14:paraId="4D19CE0D" w14:textId="77777777" w:rsidR="006F6AD8" w:rsidRPr="00A764C4" w:rsidRDefault="006F6AD8" w:rsidP="006F6AD8">
      <w:pPr>
        <w:pStyle w:val="ListParagraph"/>
        <w:numPr>
          <w:ilvl w:val="0"/>
          <w:numId w:val="3"/>
        </w:numPr>
        <w:spacing w:after="0" w:line="240" w:lineRule="auto"/>
      </w:pPr>
      <w:r w:rsidRPr="00A764C4">
        <w:t>The selection of the investment advisor shall be guided by a Request for Proposal (RFP) to include two or more candidates.</w:t>
      </w:r>
    </w:p>
    <w:p w14:paraId="7202B272" w14:textId="77777777" w:rsidR="006F6AD8" w:rsidRPr="00A764C4" w:rsidRDefault="006F6AD8" w:rsidP="00CA5A1D">
      <w:pPr>
        <w:pStyle w:val="ListParagraph"/>
        <w:numPr>
          <w:ilvl w:val="0"/>
          <w:numId w:val="3"/>
        </w:numPr>
        <w:spacing w:after="0" w:line="240" w:lineRule="auto"/>
      </w:pPr>
      <w:r w:rsidRPr="00A764C4">
        <w:t>The Foundation requires any investment advisor so retained to be registered under the Investment Advisors Act of 1940, and annually to provide to the Committee a copy of Form ADV, as referenced by Rule 204-3 of the Act.</w:t>
      </w:r>
    </w:p>
    <w:p w14:paraId="6C84A491" w14:textId="77777777" w:rsidR="006F6AD8" w:rsidRPr="00A764C4" w:rsidRDefault="006F6AD8" w:rsidP="00CA5A1D">
      <w:pPr>
        <w:pStyle w:val="ListParagraph"/>
        <w:numPr>
          <w:ilvl w:val="0"/>
          <w:numId w:val="3"/>
        </w:numPr>
        <w:spacing w:after="0" w:line="240" w:lineRule="auto"/>
      </w:pPr>
      <w:r w:rsidRPr="00A764C4">
        <w:t>The Investment advisor’s primary responsibilities shall be to:</w:t>
      </w:r>
    </w:p>
    <w:p w14:paraId="37AA30E8" w14:textId="77777777" w:rsidR="006F6AD8" w:rsidRPr="00A764C4" w:rsidRDefault="006F6AD8" w:rsidP="006F6AD8">
      <w:pPr>
        <w:pStyle w:val="ListParagraph"/>
        <w:spacing w:after="0" w:line="240" w:lineRule="auto"/>
        <w:ind w:left="924"/>
      </w:pPr>
      <w:r w:rsidRPr="00A764C4">
        <w:t>1.  Implement the investment guidelines described in the Investment Policy</w:t>
      </w:r>
    </w:p>
    <w:p w14:paraId="17231338" w14:textId="77777777" w:rsidR="006F6AD8" w:rsidRPr="00A764C4" w:rsidRDefault="006F6AD8" w:rsidP="006F6AD8">
      <w:pPr>
        <w:pStyle w:val="ListParagraph"/>
        <w:spacing w:after="0" w:line="240" w:lineRule="auto"/>
        <w:ind w:left="924"/>
      </w:pPr>
      <w:r w:rsidRPr="00A764C4">
        <w:t xml:space="preserve">2.  </w:t>
      </w:r>
      <w:r w:rsidR="009B12CE" w:rsidRPr="00A764C4">
        <w:t xml:space="preserve">Support the Foundation in their </w:t>
      </w:r>
      <w:r w:rsidR="00106138" w:rsidRPr="00A764C4">
        <w:t>f</w:t>
      </w:r>
      <w:r w:rsidR="009B12CE" w:rsidRPr="00A764C4">
        <w:t xml:space="preserve">iduciary </w:t>
      </w:r>
      <w:r w:rsidR="000311AF" w:rsidRPr="00A764C4">
        <w:t>responsibilities</w:t>
      </w:r>
    </w:p>
    <w:p w14:paraId="37A50424" w14:textId="77777777" w:rsidR="001670C8" w:rsidRPr="00A764C4" w:rsidRDefault="00106138" w:rsidP="006F6AD8">
      <w:pPr>
        <w:pStyle w:val="ListParagraph"/>
        <w:spacing w:after="0" w:line="240" w:lineRule="auto"/>
        <w:ind w:left="924"/>
      </w:pPr>
      <w:r w:rsidRPr="00A764C4">
        <w:t>3</w:t>
      </w:r>
      <w:r w:rsidR="001670C8" w:rsidRPr="00A764C4">
        <w:t>.  Incur investment costs n</w:t>
      </w:r>
      <w:r w:rsidR="00E85FC7" w:rsidRPr="00A764C4">
        <w:t>ot to exceed</w:t>
      </w:r>
      <w:r w:rsidR="00726E68" w:rsidRPr="00A764C4">
        <w:t xml:space="preserve"> an aggregate of</w:t>
      </w:r>
      <w:r w:rsidR="00E85FC7" w:rsidRPr="00A764C4">
        <w:t xml:space="preserve"> 1.25</w:t>
      </w:r>
      <w:r w:rsidR="001670C8" w:rsidRPr="00A764C4">
        <w:t>%.</w:t>
      </w:r>
    </w:p>
    <w:p w14:paraId="509CA6C7" w14:textId="77777777" w:rsidR="00D16CA2" w:rsidRPr="00A764C4" w:rsidRDefault="00D16CA2" w:rsidP="0065312E">
      <w:pPr>
        <w:pStyle w:val="ListParagraph"/>
        <w:spacing w:after="0" w:line="240" w:lineRule="auto"/>
        <w:ind w:left="924"/>
      </w:pPr>
    </w:p>
    <w:p w14:paraId="24B707FF" w14:textId="77777777" w:rsidR="00504DD9" w:rsidRDefault="00423AEC" w:rsidP="003B5C2A">
      <w:r w:rsidRPr="00A764C4">
        <w:t>B</w:t>
      </w:r>
      <w:r w:rsidRPr="00A764C4">
        <w:rPr>
          <w:b/>
        </w:rPr>
        <w:t>.  Guidelines</w:t>
      </w:r>
      <w:r w:rsidR="00E85FC7" w:rsidRPr="00A764C4">
        <w:t>:</w:t>
      </w:r>
    </w:p>
    <w:p w14:paraId="1CBA841A" w14:textId="77777777" w:rsidR="003B5C2A" w:rsidRPr="0029205F" w:rsidRDefault="000E7FA8" w:rsidP="003B5C2A">
      <w:r w:rsidRPr="00A764C4">
        <w:t>The following chart represents a balanced growth portfolio</w:t>
      </w:r>
      <w:r w:rsidR="00974D24" w:rsidRPr="00A764C4">
        <w:t xml:space="preserve"> for endowed funds</w:t>
      </w:r>
      <w:r w:rsidRPr="00A764C4">
        <w:t xml:space="preserve"> that assumes moderate risk</w:t>
      </w:r>
      <w:r w:rsidR="00974D24" w:rsidRPr="00A764C4">
        <w:t xml:space="preserve"> and maximizes total return.</w:t>
      </w:r>
      <w:r w:rsidRPr="00A764C4">
        <w:t xml:space="preserve">  </w:t>
      </w:r>
      <w:r w:rsidR="003B5C2A" w:rsidRPr="00A764C4">
        <w:t>The Foundation’s investment goal is to earn, through appreciation and income, an annual return net of fees, inclusive of 12-b-1 fees, of at least</w:t>
      </w:r>
      <w:r w:rsidR="007D7F97" w:rsidRPr="0029205F">
        <w:t xml:space="preserve"> </w:t>
      </w:r>
      <w:r w:rsidR="007B5F27" w:rsidRPr="0029205F">
        <w:t>4</w:t>
      </w:r>
      <w:r w:rsidR="003B5C2A" w:rsidRPr="0029205F">
        <w:t xml:space="preserve">-7% over a five year period.  </w:t>
      </w:r>
    </w:p>
    <w:p w14:paraId="3A6A9158" w14:textId="77777777" w:rsidR="000E7FA8" w:rsidRPr="00A764C4" w:rsidRDefault="000E7FA8" w:rsidP="00957D52">
      <w:pPr>
        <w:spacing w:after="0" w:line="240" w:lineRule="auto"/>
      </w:pPr>
    </w:p>
    <w:tbl>
      <w:tblPr>
        <w:tblStyle w:val="TableGrid"/>
        <w:tblW w:w="0" w:type="auto"/>
        <w:tblLook w:val="04A0" w:firstRow="1" w:lastRow="0" w:firstColumn="1" w:lastColumn="0" w:noHBand="0" w:noVBand="1"/>
      </w:tblPr>
      <w:tblGrid>
        <w:gridCol w:w="2268"/>
        <w:gridCol w:w="4093"/>
        <w:gridCol w:w="1708"/>
        <w:gridCol w:w="1507"/>
      </w:tblGrid>
      <w:tr w:rsidR="00E06CF5" w:rsidRPr="0029205F" w14:paraId="157726F9" w14:textId="77777777" w:rsidTr="00656F18">
        <w:tc>
          <w:tcPr>
            <w:tcW w:w="2268" w:type="dxa"/>
          </w:tcPr>
          <w:p w14:paraId="2556A3C7" w14:textId="77777777" w:rsidR="00E06CF5" w:rsidRPr="0029205F" w:rsidRDefault="007606EE" w:rsidP="0029205F">
            <w:pPr>
              <w:rPr>
                <w:b/>
              </w:rPr>
            </w:pPr>
            <w:r w:rsidRPr="0029205F">
              <w:rPr>
                <w:b/>
              </w:rPr>
              <w:t>Asset Class</w:t>
            </w:r>
          </w:p>
        </w:tc>
        <w:tc>
          <w:tcPr>
            <w:tcW w:w="4093" w:type="dxa"/>
          </w:tcPr>
          <w:p w14:paraId="07D5D5B9" w14:textId="77777777" w:rsidR="00E06CF5" w:rsidRPr="0029205F" w:rsidRDefault="007606EE" w:rsidP="0029205F">
            <w:pPr>
              <w:rPr>
                <w:b/>
              </w:rPr>
            </w:pPr>
            <w:r w:rsidRPr="0029205F">
              <w:rPr>
                <w:b/>
              </w:rPr>
              <w:t>Asset Class Detail</w:t>
            </w:r>
          </w:p>
        </w:tc>
        <w:tc>
          <w:tcPr>
            <w:tcW w:w="1708" w:type="dxa"/>
          </w:tcPr>
          <w:p w14:paraId="3174D82D" w14:textId="77777777" w:rsidR="00E06CF5" w:rsidRPr="0029205F" w:rsidRDefault="00E06CF5" w:rsidP="0029205F">
            <w:pPr>
              <w:rPr>
                <w:b/>
              </w:rPr>
            </w:pPr>
            <w:r w:rsidRPr="0029205F">
              <w:rPr>
                <w:b/>
              </w:rPr>
              <w:t>Target</w:t>
            </w:r>
          </w:p>
        </w:tc>
        <w:tc>
          <w:tcPr>
            <w:tcW w:w="1507" w:type="dxa"/>
          </w:tcPr>
          <w:p w14:paraId="6A95F223" w14:textId="77777777" w:rsidR="00E06CF5" w:rsidRPr="0029205F" w:rsidRDefault="00E06CF5" w:rsidP="0029205F">
            <w:pPr>
              <w:rPr>
                <w:b/>
              </w:rPr>
            </w:pPr>
            <w:r w:rsidRPr="0029205F">
              <w:rPr>
                <w:b/>
              </w:rPr>
              <w:t>Range</w:t>
            </w:r>
          </w:p>
        </w:tc>
      </w:tr>
      <w:tr w:rsidR="007D7F97" w:rsidRPr="0029205F" w14:paraId="1BB0732E" w14:textId="77777777" w:rsidTr="00656F18">
        <w:tc>
          <w:tcPr>
            <w:tcW w:w="2268" w:type="dxa"/>
          </w:tcPr>
          <w:p w14:paraId="171ED469" w14:textId="77777777" w:rsidR="007D7F97" w:rsidRDefault="007606EE" w:rsidP="0029205F">
            <w:r w:rsidRPr="0029205F">
              <w:t>Equities</w:t>
            </w:r>
          </w:p>
          <w:p w14:paraId="14C76B3B" w14:textId="77777777" w:rsidR="0029205F" w:rsidRPr="0029205F" w:rsidRDefault="0029205F" w:rsidP="0029205F"/>
        </w:tc>
        <w:tc>
          <w:tcPr>
            <w:tcW w:w="4093" w:type="dxa"/>
          </w:tcPr>
          <w:p w14:paraId="41697AEB" w14:textId="77777777" w:rsidR="007D7F97" w:rsidRPr="0029205F" w:rsidRDefault="007606EE" w:rsidP="0029205F">
            <w:r w:rsidRPr="0029205F">
              <w:t>Large Cap Growth</w:t>
            </w:r>
          </w:p>
        </w:tc>
        <w:tc>
          <w:tcPr>
            <w:tcW w:w="1708" w:type="dxa"/>
          </w:tcPr>
          <w:p w14:paraId="069D63F7" w14:textId="77777777" w:rsidR="007D7F97" w:rsidRPr="0029205F" w:rsidRDefault="007606EE" w:rsidP="0029205F">
            <w:r w:rsidRPr="0029205F">
              <w:t>10</w:t>
            </w:r>
          </w:p>
        </w:tc>
        <w:tc>
          <w:tcPr>
            <w:tcW w:w="1507" w:type="dxa"/>
          </w:tcPr>
          <w:p w14:paraId="5F109EFF" w14:textId="77777777" w:rsidR="007D7F97" w:rsidRPr="0029205F" w:rsidRDefault="007606EE" w:rsidP="0029205F">
            <w:r w:rsidRPr="0029205F">
              <w:t>5-25</w:t>
            </w:r>
          </w:p>
        </w:tc>
      </w:tr>
      <w:tr w:rsidR="00E06CF5" w:rsidRPr="0029205F" w14:paraId="2613BC12" w14:textId="77777777" w:rsidTr="00656F18">
        <w:tc>
          <w:tcPr>
            <w:tcW w:w="2268" w:type="dxa"/>
          </w:tcPr>
          <w:p w14:paraId="5B3F7DAE" w14:textId="77777777" w:rsidR="00E06CF5" w:rsidRPr="0029205F" w:rsidRDefault="00E06CF5" w:rsidP="0029205F"/>
        </w:tc>
        <w:tc>
          <w:tcPr>
            <w:tcW w:w="4093" w:type="dxa"/>
          </w:tcPr>
          <w:p w14:paraId="2DC5717A" w14:textId="77777777" w:rsidR="00E06CF5" w:rsidRPr="0029205F" w:rsidRDefault="007606EE" w:rsidP="0029205F">
            <w:r w:rsidRPr="0029205F">
              <w:t>Large Cap Value</w:t>
            </w:r>
          </w:p>
        </w:tc>
        <w:tc>
          <w:tcPr>
            <w:tcW w:w="1708" w:type="dxa"/>
          </w:tcPr>
          <w:p w14:paraId="0A9F1311" w14:textId="77777777" w:rsidR="00E06CF5" w:rsidRPr="0029205F" w:rsidRDefault="007606EE" w:rsidP="0029205F">
            <w:r w:rsidRPr="0029205F">
              <w:t>16</w:t>
            </w:r>
          </w:p>
        </w:tc>
        <w:tc>
          <w:tcPr>
            <w:tcW w:w="1507" w:type="dxa"/>
          </w:tcPr>
          <w:p w14:paraId="13AB1A11" w14:textId="77777777" w:rsidR="00E06CF5" w:rsidRPr="0029205F" w:rsidRDefault="007606EE" w:rsidP="0029205F">
            <w:r w:rsidRPr="0029205F">
              <w:t>5-25</w:t>
            </w:r>
          </w:p>
        </w:tc>
      </w:tr>
      <w:tr w:rsidR="00E06CF5" w:rsidRPr="0029205F" w14:paraId="0A19447B" w14:textId="77777777" w:rsidTr="00656F18">
        <w:tc>
          <w:tcPr>
            <w:tcW w:w="2268" w:type="dxa"/>
          </w:tcPr>
          <w:p w14:paraId="5E22B35D" w14:textId="77777777" w:rsidR="0029205F" w:rsidRPr="0029205F" w:rsidRDefault="0029205F" w:rsidP="0029205F"/>
        </w:tc>
        <w:tc>
          <w:tcPr>
            <w:tcW w:w="4093" w:type="dxa"/>
          </w:tcPr>
          <w:p w14:paraId="7447D2CB" w14:textId="77777777" w:rsidR="00E06CF5" w:rsidRPr="0029205F" w:rsidRDefault="007606EE" w:rsidP="0029205F">
            <w:r w:rsidRPr="0029205F">
              <w:t>Small/Mid Cap</w:t>
            </w:r>
          </w:p>
        </w:tc>
        <w:tc>
          <w:tcPr>
            <w:tcW w:w="1708" w:type="dxa"/>
          </w:tcPr>
          <w:p w14:paraId="026EB80D" w14:textId="77777777" w:rsidR="00E06CF5" w:rsidRPr="0029205F" w:rsidRDefault="007606EE" w:rsidP="0029205F">
            <w:r w:rsidRPr="0029205F">
              <w:t>10</w:t>
            </w:r>
          </w:p>
        </w:tc>
        <w:tc>
          <w:tcPr>
            <w:tcW w:w="1507" w:type="dxa"/>
          </w:tcPr>
          <w:p w14:paraId="6C977967" w14:textId="77777777" w:rsidR="00E06CF5" w:rsidRPr="0029205F" w:rsidRDefault="007606EE" w:rsidP="0029205F">
            <w:r w:rsidRPr="0029205F">
              <w:t>5-15</w:t>
            </w:r>
          </w:p>
        </w:tc>
      </w:tr>
      <w:tr w:rsidR="00E06CF5" w:rsidRPr="0029205F" w14:paraId="45F9DEFE" w14:textId="77777777" w:rsidTr="00656F18">
        <w:tc>
          <w:tcPr>
            <w:tcW w:w="2268" w:type="dxa"/>
          </w:tcPr>
          <w:p w14:paraId="0664E7FF" w14:textId="77777777" w:rsidR="0029205F" w:rsidRPr="0029205F" w:rsidRDefault="0029205F" w:rsidP="0029205F"/>
        </w:tc>
        <w:tc>
          <w:tcPr>
            <w:tcW w:w="4093" w:type="dxa"/>
          </w:tcPr>
          <w:p w14:paraId="6824D5C9" w14:textId="77777777" w:rsidR="00E06CF5" w:rsidRPr="0029205F" w:rsidRDefault="007606EE" w:rsidP="0029205F">
            <w:r w:rsidRPr="0029205F">
              <w:t>International</w:t>
            </w:r>
          </w:p>
        </w:tc>
        <w:tc>
          <w:tcPr>
            <w:tcW w:w="1708" w:type="dxa"/>
          </w:tcPr>
          <w:p w14:paraId="682A6A0A" w14:textId="77777777" w:rsidR="00E06CF5" w:rsidRPr="0029205F" w:rsidRDefault="007606EE" w:rsidP="0029205F">
            <w:r w:rsidRPr="0029205F">
              <w:t>15</w:t>
            </w:r>
          </w:p>
        </w:tc>
        <w:tc>
          <w:tcPr>
            <w:tcW w:w="1507" w:type="dxa"/>
          </w:tcPr>
          <w:p w14:paraId="3E3302A9" w14:textId="77777777" w:rsidR="00E06CF5" w:rsidRPr="0029205F" w:rsidRDefault="007606EE" w:rsidP="0029205F">
            <w:r w:rsidRPr="0029205F">
              <w:t>5-25</w:t>
            </w:r>
          </w:p>
        </w:tc>
      </w:tr>
      <w:tr w:rsidR="00E06CF5" w:rsidRPr="0029205F" w14:paraId="765E57EA" w14:textId="77777777" w:rsidTr="00656F18">
        <w:tc>
          <w:tcPr>
            <w:tcW w:w="2268" w:type="dxa"/>
          </w:tcPr>
          <w:p w14:paraId="1DEC88B2" w14:textId="77777777" w:rsidR="0029205F" w:rsidRPr="0029205F" w:rsidRDefault="0029205F" w:rsidP="0029205F"/>
        </w:tc>
        <w:tc>
          <w:tcPr>
            <w:tcW w:w="4093" w:type="dxa"/>
          </w:tcPr>
          <w:p w14:paraId="1644E703" w14:textId="77777777" w:rsidR="00E06CF5" w:rsidRPr="0029205F" w:rsidRDefault="007606EE" w:rsidP="0029205F">
            <w:r w:rsidRPr="0029205F">
              <w:t>Emerging Markets</w:t>
            </w:r>
          </w:p>
        </w:tc>
        <w:tc>
          <w:tcPr>
            <w:tcW w:w="1708" w:type="dxa"/>
          </w:tcPr>
          <w:p w14:paraId="6C5F2977" w14:textId="77777777" w:rsidR="00E06CF5" w:rsidRPr="0029205F" w:rsidRDefault="007606EE" w:rsidP="0029205F">
            <w:r w:rsidRPr="0029205F">
              <w:t>5</w:t>
            </w:r>
          </w:p>
        </w:tc>
        <w:tc>
          <w:tcPr>
            <w:tcW w:w="1507" w:type="dxa"/>
          </w:tcPr>
          <w:p w14:paraId="19C6B018" w14:textId="77777777" w:rsidR="00E06CF5" w:rsidRPr="0029205F" w:rsidRDefault="007606EE" w:rsidP="0029205F">
            <w:r w:rsidRPr="0029205F">
              <w:t>0-10</w:t>
            </w:r>
          </w:p>
        </w:tc>
      </w:tr>
      <w:tr w:rsidR="00E06CF5" w:rsidRPr="0029205F" w14:paraId="4DEA2226" w14:textId="77777777" w:rsidTr="00656F18">
        <w:tc>
          <w:tcPr>
            <w:tcW w:w="2268" w:type="dxa"/>
          </w:tcPr>
          <w:p w14:paraId="1C5FABFD" w14:textId="77777777" w:rsidR="00E06CF5" w:rsidRDefault="007606EE" w:rsidP="0029205F">
            <w:r w:rsidRPr="0029205F">
              <w:t>Fixed Income</w:t>
            </w:r>
          </w:p>
          <w:p w14:paraId="1D55C5AE" w14:textId="77777777" w:rsidR="0029205F" w:rsidRPr="0029205F" w:rsidRDefault="0029205F" w:rsidP="0029205F"/>
        </w:tc>
        <w:tc>
          <w:tcPr>
            <w:tcW w:w="4093" w:type="dxa"/>
          </w:tcPr>
          <w:p w14:paraId="7E8D6399" w14:textId="77777777" w:rsidR="00E06CF5" w:rsidRPr="0029205F" w:rsidRDefault="007606EE" w:rsidP="0029205F">
            <w:r w:rsidRPr="0029205F">
              <w:t>Core Fixed Income</w:t>
            </w:r>
          </w:p>
        </w:tc>
        <w:tc>
          <w:tcPr>
            <w:tcW w:w="1708" w:type="dxa"/>
          </w:tcPr>
          <w:p w14:paraId="1132D80D" w14:textId="77777777" w:rsidR="00E06CF5" w:rsidRPr="0029205F" w:rsidRDefault="007606EE" w:rsidP="0029205F">
            <w:r w:rsidRPr="0029205F">
              <w:t>25</w:t>
            </w:r>
          </w:p>
        </w:tc>
        <w:tc>
          <w:tcPr>
            <w:tcW w:w="1507" w:type="dxa"/>
          </w:tcPr>
          <w:p w14:paraId="66971AC0" w14:textId="77777777" w:rsidR="00E06CF5" w:rsidRPr="0029205F" w:rsidRDefault="007606EE" w:rsidP="0029205F">
            <w:r w:rsidRPr="0029205F">
              <w:t>15-50</w:t>
            </w:r>
          </w:p>
        </w:tc>
      </w:tr>
      <w:tr w:rsidR="00E06CF5" w:rsidRPr="0029205F" w14:paraId="2FE2E41F" w14:textId="77777777" w:rsidTr="00656F18">
        <w:tc>
          <w:tcPr>
            <w:tcW w:w="2268" w:type="dxa"/>
          </w:tcPr>
          <w:p w14:paraId="2A2CE2F3" w14:textId="77777777" w:rsidR="0029205F" w:rsidRPr="0029205F" w:rsidRDefault="0029205F" w:rsidP="0029205F"/>
        </w:tc>
        <w:tc>
          <w:tcPr>
            <w:tcW w:w="4093" w:type="dxa"/>
          </w:tcPr>
          <w:p w14:paraId="170B4146" w14:textId="77777777" w:rsidR="00E06CF5" w:rsidRPr="0029205F" w:rsidRDefault="007606EE" w:rsidP="0029205F">
            <w:r w:rsidRPr="0029205F">
              <w:t>High Yield Bonds</w:t>
            </w:r>
          </w:p>
        </w:tc>
        <w:tc>
          <w:tcPr>
            <w:tcW w:w="1708" w:type="dxa"/>
          </w:tcPr>
          <w:p w14:paraId="25D3C85D" w14:textId="77777777" w:rsidR="00E06CF5" w:rsidRPr="0029205F" w:rsidRDefault="007606EE" w:rsidP="0029205F">
            <w:r w:rsidRPr="0029205F">
              <w:t>5</w:t>
            </w:r>
          </w:p>
        </w:tc>
        <w:tc>
          <w:tcPr>
            <w:tcW w:w="1507" w:type="dxa"/>
          </w:tcPr>
          <w:p w14:paraId="48BA5886" w14:textId="77777777" w:rsidR="00E06CF5" w:rsidRPr="0029205F" w:rsidRDefault="007606EE" w:rsidP="0029205F">
            <w:r w:rsidRPr="0029205F">
              <w:t>0-10</w:t>
            </w:r>
          </w:p>
        </w:tc>
      </w:tr>
      <w:tr w:rsidR="00E06CF5" w:rsidRPr="0029205F" w14:paraId="3A52AD21" w14:textId="77777777" w:rsidTr="00656F18">
        <w:tc>
          <w:tcPr>
            <w:tcW w:w="2268" w:type="dxa"/>
          </w:tcPr>
          <w:p w14:paraId="2E565221" w14:textId="77777777" w:rsidR="00E06CF5" w:rsidRPr="0029205F" w:rsidRDefault="00E06CF5" w:rsidP="0029205F"/>
        </w:tc>
        <w:tc>
          <w:tcPr>
            <w:tcW w:w="4093" w:type="dxa"/>
          </w:tcPr>
          <w:p w14:paraId="40997FCC" w14:textId="77777777" w:rsidR="00E06CF5" w:rsidRPr="0029205F" w:rsidRDefault="007606EE" w:rsidP="0029205F">
            <w:r w:rsidRPr="0029205F">
              <w:t>International Bonds</w:t>
            </w:r>
          </w:p>
        </w:tc>
        <w:tc>
          <w:tcPr>
            <w:tcW w:w="1708" w:type="dxa"/>
          </w:tcPr>
          <w:p w14:paraId="5BC89DB5" w14:textId="77777777" w:rsidR="00E06CF5" w:rsidRPr="0029205F" w:rsidRDefault="007606EE" w:rsidP="0029205F">
            <w:r w:rsidRPr="0029205F">
              <w:t>5</w:t>
            </w:r>
          </w:p>
        </w:tc>
        <w:tc>
          <w:tcPr>
            <w:tcW w:w="1507" w:type="dxa"/>
          </w:tcPr>
          <w:p w14:paraId="3A571879" w14:textId="77777777" w:rsidR="00E06CF5" w:rsidRPr="0029205F" w:rsidRDefault="007606EE" w:rsidP="0029205F">
            <w:r w:rsidRPr="0029205F">
              <w:t>0-10</w:t>
            </w:r>
          </w:p>
        </w:tc>
      </w:tr>
      <w:tr w:rsidR="00E06CF5" w:rsidRPr="0029205F" w14:paraId="2D07F350" w14:textId="77777777" w:rsidTr="00656F18">
        <w:tc>
          <w:tcPr>
            <w:tcW w:w="2268" w:type="dxa"/>
          </w:tcPr>
          <w:p w14:paraId="10C8964B" w14:textId="77777777" w:rsidR="00E06CF5" w:rsidRDefault="007606EE" w:rsidP="0029205F">
            <w:r w:rsidRPr="0029205F">
              <w:t>Alternatives</w:t>
            </w:r>
          </w:p>
          <w:p w14:paraId="7A3A83C6" w14:textId="77777777" w:rsidR="0029205F" w:rsidRPr="0029205F" w:rsidRDefault="0029205F" w:rsidP="0029205F"/>
        </w:tc>
        <w:tc>
          <w:tcPr>
            <w:tcW w:w="4093" w:type="dxa"/>
          </w:tcPr>
          <w:p w14:paraId="31DE3C8A" w14:textId="77777777" w:rsidR="00E06CF5" w:rsidRPr="0029205F" w:rsidRDefault="007606EE" w:rsidP="0029205F">
            <w:r w:rsidRPr="0029205F">
              <w:t>Alternatives</w:t>
            </w:r>
          </w:p>
        </w:tc>
        <w:tc>
          <w:tcPr>
            <w:tcW w:w="1708" w:type="dxa"/>
          </w:tcPr>
          <w:p w14:paraId="35C54C7B" w14:textId="77777777" w:rsidR="00E06CF5" w:rsidRPr="0029205F" w:rsidRDefault="007606EE" w:rsidP="0029205F">
            <w:r w:rsidRPr="0029205F">
              <w:t>5</w:t>
            </w:r>
          </w:p>
        </w:tc>
        <w:tc>
          <w:tcPr>
            <w:tcW w:w="1507" w:type="dxa"/>
          </w:tcPr>
          <w:p w14:paraId="6D13D60F" w14:textId="77777777" w:rsidR="00E06CF5" w:rsidRPr="0029205F" w:rsidRDefault="007606EE" w:rsidP="0029205F">
            <w:r w:rsidRPr="0029205F">
              <w:t>0-15</w:t>
            </w:r>
          </w:p>
        </w:tc>
      </w:tr>
      <w:tr w:rsidR="00E06CF5" w:rsidRPr="0029205F" w14:paraId="5AAC369C" w14:textId="77777777" w:rsidTr="00656F18">
        <w:tc>
          <w:tcPr>
            <w:tcW w:w="2268" w:type="dxa"/>
          </w:tcPr>
          <w:p w14:paraId="250E1344" w14:textId="77777777" w:rsidR="007606EE" w:rsidRPr="0029205F" w:rsidRDefault="007606EE" w:rsidP="0029205F">
            <w:r w:rsidRPr="0029205F">
              <w:t>Cash/Cash</w:t>
            </w:r>
            <w:r w:rsidR="00656F18" w:rsidRPr="0029205F">
              <w:t xml:space="preserve"> </w:t>
            </w:r>
            <w:r w:rsidRPr="0029205F">
              <w:t>Equivalents</w:t>
            </w:r>
          </w:p>
        </w:tc>
        <w:tc>
          <w:tcPr>
            <w:tcW w:w="4093" w:type="dxa"/>
          </w:tcPr>
          <w:p w14:paraId="2805CAF5" w14:textId="77777777" w:rsidR="00E06CF5" w:rsidRPr="0029205F" w:rsidRDefault="007606EE" w:rsidP="0029205F">
            <w:r w:rsidRPr="0029205F">
              <w:t>Cash/Cash</w:t>
            </w:r>
          </w:p>
          <w:p w14:paraId="0147D5C6" w14:textId="77777777" w:rsidR="007606EE" w:rsidRPr="0029205F" w:rsidRDefault="007606EE" w:rsidP="0029205F">
            <w:r w:rsidRPr="0029205F">
              <w:t>Equivalents</w:t>
            </w:r>
          </w:p>
        </w:tc>
        <w:tc>
          <w:tcPr>
            <w:tcW w:w="1708" w:type="dxa"/>
          </w:tcPr>
          <w:p w14:paraId="3BE0CC52" w14:textId="77777777" w:rsidR="00E06CF5" w:rsidRPr="0029205F" w:rsidRDefault="007606EE" w:rsidP="0029205F">
            <w:r w:rsidRPr="0029205F">
              <w:t>4</w:t>
            </w:r>
          </w:p>
        </w:tc>
        <w:tc>
          <w:tcPr>
            <w:tcW w:w="1507" w:type="dxa"/>
          </w:tcPr>
          <w:p w14:paraId="3A0B32E4" w14:textId="77777777" w:rsidR="00E06CF5" w:rsidRPr="0029205F" w:rsidRDefault="007606EE" w:rsidP="0029205F">
            <w:r w:rsidRPr="0029205F">
              <w:t>0-10</w:t>
            </w:r>
          </w:p>
        </w:tc>
      </w:tr>
    </w:tbl>
    <w:p w14:paraId="1BB7DA16" w14:textId="77777777" w:rsidR="00974D24" w:rsidRDefault="00974D24" w:rsidP="0029205F"/>
    <w:p w14:paraId="7736488B" w14:textId="77777777" w:rsidR="0029205F" w:rsidRDefault="0029205F" w:rsidP="0029205F"/>
    <w:p w14:paraId="7889F26E" w14:textId="77777777" w:rsidR="0029205F" w:rsidRDefault="0029205F" w:rsidP="0029205F"/>
    <w:p w14:paraId="5F266291" w14:textId="77777777" w:rsidR="00726E68" w:rsidRPr="0029205F" w:rsidRDefault="000537C7" w:rsidP="0029205F">
      <w:pPr>
        <w:rPr>
          <w:b/>
        </w:rPr>
      </w:pPr>
      <w:r w:rsidRPr="0029205F">
        <w:t>C:  Definitions:</w:t>
      </w:r>
    </w:p>
    <w:p w14:paraId="5EA03136" w14:textId="77777777" w:rsidR="007606EE" w:rsidRPr="0029205F" w:rsidRDefault="00E06CF5" w:rsidP="0029205F">
      <w:r w:rsidRPr="0029205F">
        <w:rPr>
          <w:b/>
        </w:rPr>
        <w:lastRenderedPageBreak/>
        <w:t xml:space="preserve">     ALTERNATIVES:</w:t>
      </w:r>
      <w:r w:rsidR="000537C7" w:rsidRPr="0029205F">
        <w:rPr>
          <w:b/>
        </w:rPr>
        <w:t xml:space="preserve"> </w:t>
      </w:r>
      <w:r w:rsidR="000537C7" w:rsidRPr="0029205F">
        <w:t>may include investments in the following</w:t>
      </w:r>
      <w:r w:rsidR="007606EE" w:rsidRPr="0029205F">
        <w:t xml:space="preserve"> categories:  Hedged Equity, Arbitrage, Macro, Relative Value, Event Driven, Managed Futures, Commodities, Master Limited Partnerships (MLP), and Real Estate Investment Trusts (REIT).</w:t>
      </w:r>
    </w:p>
    <w:p w14:paraId="428CCAF8" w14:textId="77777777" w:rsidR="00E06CF5" w:rsidRPr="0034604F" w:rsidRDefault="00E06CF5" w:rsidP="0029205F">
      <w:pPr>
        <w:rPr>
          <w:b/>
        </w:rPr>
      </w:pPr>
      <w:r w:rsidRPr="0034604F">
        <w:rPr>
          <w:b/>
        </w:rPr>
        <w:t xml:space="preserve">     CASH</w:t>
      </w:r>
      <w:r w:rsidR="00C8762F" w:rsidRPr="0034604F">
        <w:rPr>
          <w:b/>
        </w:rPr>
        <w:t>/</w:t>
      </w:r>
      <w:r w:rsidRPr="0034604F">
        <w:rPr>
          <w:b/>
        </w:rPr>
        <w:t>CASH EQUIVALENTS:</w:t>
      </w:r>
    </w:p>
    <w:p w14:paraId="2E536A94" w14:textId="77777777" w:rsidR="00E06CF5" w:rsidRPr="0034604F" w:rsidRDefault="00E06CF5" w:rsidP="0029205F">
      <w:r w:rsidRPr="0034604F">
        <w:t>All cash investments shall adhere to the FDIC limit of $250,000 per institution.</w:t>
      </w:r>
    </w:p>
    <w:p w14:paraId="512C8B7A" w14:textId="77777777" w:rsidR="00E06CF5" w:rsidRPr="0034604F" w:rsidRDefault="00E06CF5" w:rsidP="0029205F">
      <w:r w:rsidRPr="0034604F">
        <w:t>Cash restricted by donor and held in money markets shall not be counted in the asset allocation.</w:t>
      </w:r>
    </w:p>
    <w:p w14:paraId="34EFADC0" w14:textId="77777777" w:rsidR="00B627B1" w:rsidRPr="0034604F" w:rsidRDefault="000537C7" w:rsidP="0029205F">
      <w:r w:rsidRPr="0034604F">
        <w:rPr>
          <w:b/>
        </w:rPr>
        <w:t>D</w:t>
      </w:r>
      <w:r w:rsidR="00423AEC" w:rsidRPr="0034604F">
        <w:rPr>
          <w:b/>
        </w:rPr>
        <w:t xml:space="preserve"> </w:t>
      </w:r>
      <w:r w:rsidR="000311AF" w:rsidRPr="0034604F">
        <w:rPr>
          <w:b/>
        </w:rPr>
        <w:t xml:space="preserve"> Benchmarks</w:t>
      </w:r>
      <w:r w:rsidR="000311AF" w:rsidRPr="0034604F">
        <w:t xml:space="preserve"> </w:t>
      </w:r>
    </w:p>
    <w:p w14:paraId="69E95DD6" w14:textId="77777777" w:rsidR="00504DD9" w:rsidRPr="0034604F" w:rsidRDefault="00423AEC" w:rsidP="0029205F">
      <w:r w:rsidRPr="0034604F">
        <w:t xml:space="preserve">    </w:t>
      </w:r>
      <w:r w:rsidR="0065312E" w:rsidRPr="0034604F">
        <w:t>D</w:t>
      </w:r>
      <w:r w:rsidR="001A457A" w:rsidRPr="0034604F">
        <w:t xml:space="preserve">epending on the </w:t>
      </w:r>
      <w:r w:rsidR="007C3FBF" w:rsidRPr="0034604F">
        <w:t xml:space="preserve">portfolio </w:t>
      </w:r>
      <w:r w:rsidR="001A457A" w:rsidRPr="0034604F">
        <w:t>size and therefore ability to diversify in more detail</w:t>
      </w:r>
      <w:r w:rsidR="00F9733A" w:rsidRPr="0034604F">
        <w:t>,</w:t>
      </w:r>
      <w:r w:rsidR="001A457A" w:rsidRPr="0034604F">
        <w:t xml:space="preserve"> </w:t>
      </w:r>
      <w:r w:rsidR="00641614" w:rsidRPr="0034604F">
        <w:t>e</w:t>
      </w:r>
      <w:r w:rsidR="00206D6E" w:rsidRPr="0034604F">
        <w:t xml:space="preserve">ach portfolio and asset class within the portfolio shall be reported against specific </w:t>
      </w:r>
      <w:r w:rsidR="001670C8" w:rsidRPr="0034604F">
        <w:t>benchmarks</w:t>
      </w:r>
      <w:r w:rsidR="00206D6E" w:rsidRPr="0034604F">
        <w:t xml:space="preserve"> which shall be amended periodically by the </w:t>
      </w:r>
      <w:r w:rsidR="001670C8" w:rsidRPr="0034604F">
        <w:t>Committee</w:t>
      </w:r>
      <w:r w:rsidR="00206D6E" w:rsidRPr="0034604F">
        <w:t xml:space="preserve"> with input by the investment advisor(s) and formally approved by the Board of Directors.</w:t>
      </w:r>
      <w:r w:rsidR="00516989" w:rsidRPr="0034604F">
        <w:t xml:space="preserve"> </w:t>
      </w:r>
    </w:p>
    <w:p w14:paraId="38C1D8B3" w14:textId="77777777" w:rsidR="00504DD9" w:rsidRPr="0034604F" w:rsidRDefault="00504DD9" w:rsidP="0029205F"/>
    <w:tbl>
      <w:tblPr>
        <w:tblW w:w="0" w:type="auto"/>
        <w:shd w:val="clear" w:color="auto" w:fill="FFFFFF"/>
        <w:tblCellMar>
          <w:left w:w="0" w:type="dxa"/>
          <w:right w:w="0" w:type="dxa"/>
        </w:tblCellMar>
        <w:tblLook w:val="04A0" w:firstRow="1" w:lastRow="0" w:firstColumn="1" w:lastColumn="0" w:noHBand="0" w:noVBand="1"/>
      </w:tblPr>
      <w:tblGrid>
        <w:gridCol w:w="2394"/>
        <w:gridCol w:w="2998"/>
        <w:gridCol w:w="3420"/>
      </w:tblGrid>
      <w:tr w:rsidR="0029205F" w:rsidRPr="0034604F" w14:paraId="36190F12" w14:textId="77777777" w:rsidTr="0034604F">
        <w:tc>
          <w:tcPr>
            <w:tcW w:w="23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A30B76" w14:textId="77777777" w:rsidR="0034604F" w:rsidRPr="0034604F" w:rsidRDefault="0034604F" w:rsidP="0029205F">
            <w:r w:rsidRPr="0034604F">
              <w:rPr>
                <w:b/>
                <w:bCs/>
              </w:rPr>
              <w:t>Asset Class</w:t>
            </w:r>
          </w:p>
        </w:tc>
        <w:tc>
          <w:tcPr>
            <w:tcW w:w="29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CFBB62A" w14:textId="77777777" w:rsidR="0034604F" w:rsidRPr="0034604F" w:rsidRDefault="0034604F" w:rsidP="0029205F">
            <w:r w:rsidRPr="0034604F">
              <w:rPr>
                <w:b/>
                <w:bCs/>
              </w:rPr>
              <w:t>Asset Class Detail</w:t>
            </w:r>
          </w:p>
        </w:tc>
        <w:tc>
          <w:tcPr>
            <w:tcW w:w="3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882C51" w14:textId="77777777" w:rsidR="0034604F" w:rsidRPr="0034604F" w:rsidRDefault="0034604F" w:rsidP="0029205F">
            <w:r w:rsidRPr="0034604F">
              <w:rPr>
                <w:b/>
                <w:bCs/>
              </w:rPr>
              <w:t>Benchmark</w:t>
            </w:r>
          </w:p>
        </w:tc>
      </w:tr>
      <w:tr w:rsidR="0029205F" w:rsidRPr="0034604F" w14:paraId="0A56FB98" w14:textId="77777777" w:rsidTr="0034604F">
        <w:tc>
          <w:tcPr>
            <w:tcW w:w="2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63F1BD" w14:textId="77777777" w:rsidR="0034604F" w:rsidRPr="0034604F" w:rsidRDefault="0034604F" w:rsidP="0029205F">
            <w:r w:rsidRPr="0034604F">
              <w:t>Equities</w:t>
            </w:r>
          </w:p>
        </w:tc>
        <w:tc>
          <w:tcPr>
            <w:tcW w:w="2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3DD572" w14:textId="77777777" w:rsidR="0034604F" w:rsidRPr="0034604F" w:rsidRDefault="0034604F" w:rsidP="0029205F">
            <w:r w:rsidRPr="0034604F">
              <w:t>Large Cap Growth U.S. Equities</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3264EF" w14:textId="77777777" w:rsidR="0034604F" w:rsidRPr="0034604F" w:rsidRDefault="0034604F" w:rsidP="0029205F">
            <w:r w:rsidRPr="0034604F">
              <w:t>Russell 1000 Growth</w:t>
            </w:r>
          </w:p>
        </w:tc>
      </w:tr>
      <w:tr w:rsidR="0029205F" w:rsidRPr="0034604F" w14:paraId="1C4E1F5C" w14:textId="77777777" w:rsidTr="0034604F">
        <w:tc>
          <w:tcPr>
            <w:tcW w:w="2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FEB6BB" w14:textId="77777777" w:rsidR="0034604F" w:rsidRPr="0034604F" w:rsidRDefault="0034604F" w:rsidP="0029205F">
            <w:r w:rsidRPr="0034604F">
              <w:t> </w:t>
            </w:r>
          </w:p>
        </w:tc>
        <w:tc>
          <w:tcPr>
            <w:tcW w:w="2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B50CD5" w14:textId="77777777" w:rsidR="0034604F" w:rsidRPr="0034604F" w:rsidRDefault="0034604F" w:rsidP="0029205F">
            <w:r w:rsidRPr="0034604F">
              <w:t>Large Cap Value U.S. Equities</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BA2C9B" w14:textId="77777777" w:rsidR="0034604F" w:rsidRPr="0034604F" w:rsidRDefault="0034604F" w:rsidP="0029205F">
            <w:r w:rsidRPr="0034604F">
              <w:t>Russell 1000 Value</w:t>
            </w:r>
          </w:p>
        </w:tc>
      </w:tr>
      <w:tr w:rsidR="0029205F" w:rsidRPr="0034604F" w14:paraId="0DD98FB5" w14:textId="77777777" w:rsidTr="0034604F">
        <w:tc>
          <w:tcPr>
            <w:tcW w:w="2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15D938" w14:textId="77777777" w:rsidR="0034604F" w:rsidRPr="0034604F" w:rsidRDefault="0034604F" w:rsidP="0029205F">
            <w:r w:rsidRPr="0034604F">
              <w:t> </w:t>
            </w:r>
          </w:p>
        </w:tc>
        <w:tc>
          <w:tcPr>
            <w:tcW w:w="2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3B4083" w14:textId="77777777" w:rsidR="0034604F" w:rsidRPr="0034604F" w:rsidRDefault="0034604F" w:rsidP="0029205F">
            <w:r w:rsidRPr="0034604F">
              <w:t>Small/Mid Cap U.S. Equities</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26D582" w14:textId="77777777" w:rsidR="0034604F" w:rsidRPr="0034604F" w:rsidRDefault="0034604F" w:rsidP="0029205F">
            <w:r w:rsidRPr="0034604F">
              <w:t>Russell 2500</w:t>
            </w:r>
          </w:p>
        </w:tc>
      </w:tr>
      <w:tr w:rsidR="0029205F" w:rsidRPr="0034604F" w14:paraId="2846EC86" w14:textId="77777777" w:rsidTr="0034604F">
        <w:tc>
          <w:tcPr>
            <w:tcW w:w="2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6ABE0F" w14:textId="77777777" w:rsidR="0034604F" w:rsidRPr="0034604F" w:rsidRDefault="0034604F" w:rsidP="0029205F">
            <w:r w:rsidRPr="0034604F">
              <w:t> </w:t>
            </w:r>
          </w:p>
        </w:tc>
        <w:tc>
          <w:tcPr>
            <w:tcW w:w="2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0A4535" w14:textId="77777777" w:rsidR="0034604F" w:rsidRPr="0034604F" w:rsidRDefault="0034604F" w:rsidP="0029205F">
            <w:r w:rsidRPr="0034604F">
              <w:t>International Equities</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0DAA30" w14:textId="77777777" w:rsidR="0034604F" w:rsidRPr="0034604F" w:rsidRDefault="0034604F" w:rsidP="0029205F">
            <w:r w:rsidRPr="0034604F">
              <w:t>MSCI EAFE</w:t>
            </w:r>
          </w:p>
        </w:tc>
      </w:tr>
      <w:tr w:rsidR="0029205F" w:rsidRPr="0034604F" w14:paraId="3F184789" w14:textId="77777777" w:rsidTr="0034604F">
        <w:tc>
          <w:tcPr>
            <w:tcW w:w="2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EC9889" w14:textId="77777777" w:rsidR="0034604F" w:rsidRPr="0034604F" w:rsidRDefault="0034604F" w:rsidP="0029205F">
            <w:r w:rsidRPr="0034604F">
              <w:t> </w:t>
            </w:r>
          </w:p>
        </w:tc>
        <w:tc>
          <w:tcPr>
            <w:tcW w:w="2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A4A106" w14:textId="77777777" w:rsidR="0034604F" w:rsidRPr="0034604F" w:rsidRDefault="0034604F" w:rsidP="0029205F">
            <w:r w:rsidRPr="0034604F">
              <w:t>Emerging Markets Equities</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C25A8A" w14:textId="77777777" w:rsidR="0034604F" w:rsidRPr="0034604F" w:rsidRDefault="0034604F" w:rsidP="0029205F">
            <w:r w:rsidRPr="0034604F">
              <w:t>MSCI Emerging Markets</w:t>
            </w:r>
          </w:p>
        </w:tc>
      </w:tr>
      <w:tr w:rsidR="0029205F" w:rsidRPr="0034604F" w14:paraId="25C717C6" w14:textId="77777777" w:rsidTr="0034604F">
        <w:tc>
          <w:tcPr>
            <w:tcW w:w="2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7D1FB9" w14:textId="77777777" w:rsidR="0034604F" w:rsidRPr="0034604F" w:rsidRDefault="0034604F" w:rsidP="0029205F">
            <w:r w:rsidRPr="0034604F">
              <w:t>Fixed Income</w:t>
            </w:r>
          </w:p>
        </w:tc>
        <w:tc>
          <w:tcPr>
            <w:tcW w:w="2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36C496" w14:textId="77777777" w:rsidR="0034604F" w:rsidRPr="0034604F" w:rsidRDefault="0034604F" w:rsidP="0029205F">
            <w:r w:rsidRPr="0034604F">
              <w:t>Core Fixed Income</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209A2A" w14:textId="77777777" w:rsidR="0034604F" w:rsidRPr="0034604F" w:rsidRDefault="0034604F" w:rsidP="0029205F">
            <w:r w:rsidRPr="0034604F">
              <w:t>Barclays U.S. Aggregate</w:t>
            </w:r>
          </w:p>
        </w:tc>
      </w:tr>
      <w:tr w:rsidR="0029205F" w:rsidRPr="0034604F" w14:paraId="1570CB6F" w14:textId="77777777" w:rsidTr="0034604F">
        <w:tc>
          <w:tcPr>
            <w:tcW w:w="2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E7CA97" w14:textId="77777777" w:rsidR="0034604F" w:rsidRPr="0034604F" w:rsidRDefault="0034604F" w:rsidP="0029205F">
            <w:r w:rsidRPr="0034604F">
              <w:t> </w:t>
            </w:r>
          </w:p>
        </w:tc>
        <w:tc>
          <w:tcPr>
            <w:tcW w:w="2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53DD86" w14:textId="77777777" w:rsidR="0034604F" w:rsidRPr="0034604F" w:rsidRDefault="0034604F" w:rsidP="0029205F">
            <w:r w:rsidRPr="0034604F">
              <w:t>High Yield Fixed Income</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6608E9" w14:textId="77777777" w:rsidR="0034604F" w:rsidRPr="0034604F" w:rsidRDefault="0034604F" w:rsidP="0029205F">
            <w:r w:rsidRPr="0034604F">
              <w:t>ML US HY</w:t>
            </w:r>
          </w:p>
        </w:tc>
      </w:tr>
      <w:tr w:rsidR="0029205F" w:rsidRPr="0034604F" w14:paraId="15B27755" w14:textId="77777777" w:rsidTr="0034604F">
        <w:tc>
          <w:tcPr>
            <w:tcW w:w="2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390D4F" w14:textId="77777777" w:rsidR="0034604F" w:rsidRPr="0034604F" w:rsidRDefault="0034604F" w:rsidP="0029205F">
            <w:r w:rsidRPr="0034604F">
              <w:t> </w:t>
            </w:r>
          </w:p>
        </w:tc>
        <w:tc>
          <w:tcPr>
            <w:tcW w:w="2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C05B13" w14:textId="77777777" w:rsidR="0034604F" w:rsidRPr="0034604F" w:rsidRDefault="0034604F" w:rsidP="0029205F">
            <w:r w:rsidRPr="0034604F">
              <w:t>International Fixed Income</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72DDC4" w14:textId="77777777" w:rsidR="0034604F" w:rsidRPr="0034604F" w:rsidRDefault="0034604F" w:rsidP="0029205F">
            <w:r w:rsidRPr="0034604F">
              <w:t>ML Global HY &amp; EM</w:t>
            </w:r>
          </w:p>
        </w:tc>
      </w:tr>
      <w:tr w:rsidR="0029205F" w:rsidRPr="0034604F" w14:paraId="447058A7" w14:textId="77777777" w:rsidTr="0034604F">
        <w:tc>
          <w:tcPr>
            <w:tcW w:w="2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98A429" w14:textId="77777777" w:rsidR="0034604F" w:rsidRPr="0034604F" w:rsidRDefault="0034604F" w:rsidP="0029205F">
            <w:r w:rsidRPr="0034604F">
              <w:t>Alternatives</w:t>
            </w:r>
          </w:p>
        </w:tc>
        <w:tc>
          <w:tcPr>
            <w:tcW w:w="2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DEA025" w14:textId="77777777" w:rsidR="0034604F" w:rsidRPr="0034604F" w:rsidRDefault="0034604F" w:rsidP="0029205F">
            <w:r w:rsidRPr="0034604F">
              <w:t>Alternatives</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B290F9" w14:textId="77777777" w:rsidR="0034604F" w:rsidRPr="0034604F" w:rsidRDefault="0034604F" w:rsidP="0029205F">
            <w:r w:rsidRPr="0034604F">
              <w:t>Varies based on alternative strategy</w:t>
            </w:r>
          </w:p>
        </w:tc>
      </w:tr>
      <w:tr w:rsidR="0029205F" w:rsidRPr="0034604F" w14:paraId="30C2FE24" w14:textId="77777777" w:rsidTr="0034604F">
        <w:tc>
          <w:tcPr>
            <w:tcW w:w="2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05E15A" w14:textId="77777777" w:rsidR="0034604F" w:rsidRPr="0034604F" w:rsidRDefault="0034604F" w:rsidP="0029205F">
            <w:r w:rsidRPr="0034604F">
              <w:t>Cash/Cash Equivalents</w:t>
            </w:r>
          </w:p>
        </w:tc>
        <w:tc>
          <w:tcPr>
            <w:tcW w:w="2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A2F5A3" w14:textId="77777777" w:rsidR="0034604F" w:rsidRPr="0034604F" w:rsidRDefault="0034604F" w:rsidP="0029205F">
            <w:r w:rsidRPr="0034604F">
              <w:t>Cash/Cash Equivalents</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B6540B" w14:textId="77777777" w:rsidR="0034604F" w:rsidRPr="0034604F" w:rsidRDefault="0034604F" w:rsidP="0029205F">
            <w:r w:rsidRPr="0034604F">
              <w:t>Citigroup 3-Month T-Bill</w:t>
            </w:r>
          </w:p>
        </w:tc>
      </w:tr>
    </w:tbl>
    <w:p w14:paraId="439C843E" w14:textId="77777777" w:rsidR="00BE6160" w:rsidRPr="00A764C4" w:rsidRDefault="00BE6160" w:rsidP="0029205F"/>
    <w:sectPr w:rsidR="00BE6160" w:rsidRPr="00A764C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13C67" w14:textId="77777777" w:rsidR="00112782" w:rsidRDefault="00112782" w:rsidP="00BE6160">
      <w:pPr>
        <w:spacing w:after="0" w:line="240" w:lineRule="auto"/>
      </w:pPr>
      <w:r>
        <w:separator/>
      </w:r>
    </w:p>
  </w:endnote>
  <w:endnote w:type="continuationSeparator" w:id="0">
    <w:p w14:paraId="27BE8561" w14:textId="77777777" w:rsidR="00112782" w:rsidRDefault="00112782" w:rsidP="00BE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664647"/>
      <w:docPartObj>
        <w:docPartGallery w:val="Page Numbers (Bottom of Page)"/>
        <w:docPartUnique/>
      </w:docPartObj>
    </w:sdtPr>
    <w:sdtEndPr>
      <w:rPr>
        <w:noProof/>
      </w:rPr>
    </w:sdtEndPr>
    <w:sdtContent>
      <w:p w14:paraId="17187304" w14:textId="77777777" w:rsidR="0029205F" w:rsidRDefault="0029205F">
        <w:pPr>
          <w:pStyle w:val="Footer"/>
        </w:pPr>
        <w:r>
          <w:fldChar w:fldCharType="begin"/>
        </w:r>
        <w:r>
          <w:instrText xml:space="preserve"> PAGE   \* MERGEFORMAT </w:instrText>
        </w:r>
        <w:r>
          <w:fldChar w:fldCharType="separate"/>
        </w:r>
        <w:r w:rsidR="00C81FEE">
          <w:rPr>
            <w:noProof/>
          </w:rPr>
          <w:t>1</w:t>
        </w:r>
        <w:r>
          <w:rPr>
            <w:noProof/>
          </w:rPr>
          <w:fldChar w:fldCharType="end"/>
        </w:r>
      </w:p>
    </w:sdtContent>
  </w:sdt>
  <w:p w14:paraId="20012910" w14:textId="77777777" w:rsidR="00BE6160" w:rsidRPr="00A764C4" w:rsidRDefault="00BE6160" w:rsidP="00A764C4">
    <w:pPr>
      <w:pStyle w:val="Footer"/>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A1E34" w14:textId="77777777" w:rsidR="00112782" w:rsidRDefault="00112782" w:rsidP="00BE6160">
      <w:pPr>
        <w:spacing w:after="0" w:line="240" w:lineRule="auto"/>
      </w:pPr>
      <w:r>
        <w:separator/>
      </w:r>
    </w:p>
  </w:footnote>
  <w:footnote w:type="continuationSeparator" w:id="0">
    <w:p w14:paraId="64159A5D" w14:textId="77777777" w:rsidR="00112782" w:rsidRDefault="00112782" w:rsidP="00BE616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21802"/>
    <w:multiLevelType w:val="hybridMultilevel"/>
    <w:tmpl w:val="76BC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64AF4"/>
    <w:multiLevelType w:val="hybridMultilevel"/>
    <w:tmpl w:val="86C4AF0A"/>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
    <w:nsid w:val="485E7ABC"/>
    <w:multiLevelType w:val="hybridMultilevel"/>
    <w:tmpl w:val="B916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DE4587"/>
    <w:multiLevelType w:val="hybridMultilevel"/>
    <w:tmpl w:val="3DD0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C042C7"/>
    <w:multiLevelType w:val="hybridMultilevel"/>
    <w:tmpl w:val="3ABCBF92"/>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5">
    <w:nsid w:val="668C57B3"/>
    <w:multiLevelType w:val="hybridMultilevel"/>
    <w:tmpl w:val="C88AEA26"/>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52"/>
    <w:rsid w:val="0002640A"/>
    <w:rsid w:val="000311AF"/>
    <w:rsid w:val="00035689"/>
    <w:rsid w:val="00036815"/>
    <w:rsid w:val="000537C7"/>
    <w:rsid w:val="000B1FBB"/>
    <w:rsid w:val="000E3017"/>
    <w:rsid w:val="000E7FA8"/>
    <w:rsid w:val="00106138"/>
    <w:rsid w:val="00112782"/>
    <w:rsid w:val="0011342B"/>
    <w:rsid w:val="001670C8"/>
    <w:rsid w:val="00172AEF"/>
    <w:rsid w:val="001A457A"/>
    <w:rsid w:val="001A6E3E"/>
    <w:rsid w:val="001B11C7"/>
    <w:rsid w:val="001E3F79"/>
    <w:rsid w:val="00203CF3"/>
    <w:rsid w:val="00206D6E"/>
    <w:rsid w:val="00207A74"/>
    <w:rsid w:val="00230E4B"/>
    <w:rsid w:val="00265708"/>
    <w:rsid w:val="00272B16"/>
    <w:rsid w:val="0029205F"/>
    <w:rsid w:val="0034604F"/>
    <w:rsid w:val="0038027A"/>
    <w:rsid w:val="003B5C2A"/>
    <w:rsid w:val="003B68A3"/>
    <w:rsid w:val="00421463"/>
    <w:rsid w:val="00423AEC"/>
    <w:rsid w:val="00432BBE"/>
    <w:rsid w:val="004659BC"/>
    <w:rsid w:val="00474901"/>
    <w:rsid w:val="0048416C"/>
    <w:rsid w:val="004922C5"/>
    <w:rsid w:val="00494786"/>
    <w:rsid w:val="00504DD9"/>
    <w:rsid w:val="00516549"/>
    <w:rsid w:val="00516989"/>
    <w:rsid w:val="005B4F73"/>
    <w:rsid w:val="0062676A"/>
    <w:rsid w:val="00641614"/>
    <w:rsid w:val="0065312E"/>
    <w:rsid w:val="00656F18"/>
    <w:rsid w:val="00661216"/>
    <w:rsid w:val="00666F4A"/>
    <w:rsid w:val="006A406D"/>
    <w:rsid w:val="006F06CB"/>
    <w:rsid w:val="006F6AD8"/>
    <w:rsid w:val="0070180B"/>
    <w:rsid w:val="00726E68"/>
    <w:rsid w:val="007606EE"/>
    <w:rsid w:val="00794151"/>
    <w:rsid w:val="007B5F27"/>
    <w:rsid w:val="007C3FBF"/>
    <w:rsid w:val="007D7F97"/>
    <w:rsid w:val="007E50E8"/>
    <w:rsid w:val="007F31D0"/>
    <w:rsid w:val="007F5B40"/>
    <w:rsid w:val="008409E8"/>
    <w:rsid w:val="00840F13"/>
    <w:rsid w:val="008518B7"/>
    <w:rsid w:val="00871A6E"/>
    <w:rsid w:val="00874E71"/>
    <w:rsid w:val="00906A01"/>
    <w:rsid w:val="00957D52"/>
    <w:rsid w:val="00974D24"/>
    <w:rsid w:val="00980204"/>
    <w:rsid w:val="00990738"/>
    <w:rsid w:val="009B12CE"/>
    <w:rsid w:val="009E5A58"/>
    <w:rsid w:val="009F05E7"/>
    <w:rsid w:val="009F147A"/>
    <w:rsid w:val="00A35EE6"/>
    <w:rsid w:val="00A37BB8"/>
    <w:rsid w:val="00A62BAD"/>
    <w:rsid w:val="00A764C4"/>
    <w:rsid w:val="00AE1734"/>
    <w:rsid w:val="00B05291"/>
    <w:rsid w:val="00B627B1"/>
    <w:rsid w:val="00BE4B04"/>
    <w:rsid w:val="00BE6160"/>
    <w:rsid w:val="00C00BF6"/>
    <w:rsid w:val="00C016CE"/>
    <w:rsid w:val="00C81FEE"/>
    <w:rsid w:val="00C8762F"/>
    <w:rsid w:val="00CA23A3"/>
    <w:rsid w:val="00CA5A1D"/>
    <w:rsid w:val="00D16CA2"/>
    <w:rsid w:val="00D53BE8"/>
    <w:rsid w:val="00D843A5"/>
    <w:rsid w:val="00D941E0"/>
    <w:rsid w:val="00DE648F"/>
    <w:rsid w:val="00E06CF5"/>
    <w:rsid w:val="00E26540"/>
    <w:rsid w:val="00E545A1"/>
    <w:rsid w:val="00E70821"/>
    <w:rsid w:val="00E85FC7"/>
    <w:rsid w:val="00EA7058"/>
    <w:rsid w:val="00F405EF"/>
    <w:rsid w:val="00F65479"/>
    <w:rsid w:val="00F733B0"/>
    <w:rsid w:val="00F9733A"/>
    <w:rsid w:val="00FD451F"/>
    <w:rsid w:val="00FE0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4227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8B7"/>
    <w:pPr>
      <w:ind w:left="720"/>
      <w:contextualSpacing/>
    </w:pPr>
  </w:style>
  <w:style w:type="table" w:styleId="TableGrid">
    <w:name w:val="Table Grid"/>
    <w:basedOn w:val="TableNormal"/>
    <w:uiPriority w:val="59"/>
    <w:rsid w:val="00990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6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160"/>
  </w:style>
  <w:style w:type="paragraph" w:styleId="Footer">
    <w:name w:val="footer"/>
    <w:basedOn w:val="Normal"/>
    <w:link w:val="FooterChar"/>
    <w:uiPriority w:val="99"/>
    <w:unhideWhenUsed/>
    <w:rsid w:val="00BE6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160"/>
  </w:style>
  <w:style w:type="paragraph" w:styleId="BalloonText">
    <w:name w:val="Balloon Text"/>
    <w:basedOn w:val="Normal"/>
    <w:link w:val="BalloonTextChar"/>
    <w:uiPriority w:val="99"/>
    <w:semiHidden/>
    <w:unhideWhenUsed/>
    <w:rsid w:val="00BE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160"/>
    <w:rPr>
      <w:rFonts w:ascii="Tahoma" w:hAnsi="Tahoma" w:cs="Tahoma"/>
      <w:sz w:val="16"/>
      <w:szCs w:val="16"/>
    </w:rPr>
  </w:style>
  <w:style w:type="character" w:styleId="CommentReference">
    <w:name w:val="annotation reference"/>
    <w:basedOn w:val="DefaultParagraphFont"/>
    <w:uiPriority w:val="99"/>
    <w:semiHidden/>
    <w:unhideWhenUsed/>
    <w:rsid w:val="000311AF"/>
    <w:rPr>
      <w:sz w:val="16"/>
      <w:szCs w:val="16"/>
    </w:rPr>
  </w:style>
  <w:style w:type="paragraph" w:styleId="CommentText">
    <w:name w:val="annotation text"/>
    <w:basedOn w:val="Normal"/>
    <w:link w:val="CommentTextChar"/>
    <w:uiPriority w:val="99"/>
    <w:semiHidden/>
    <w:unhideWhenUsed/>
    <w:rsid w:val="000311AF"/>
    <w:pPr>
      <w:spacing w:line="240" w:lineRule="auto"/>
    </w:pPr>
    <w:rPr>
      <w:sz w:val="20"/>
      <w:szCs w:val="20"/>
    </w:rPr>
  </w:style>
  <w:style w:type="character" w:customStyle="1" w:styleId="CommentTextChar">
    <w:name w:val="Comment Text Char"/>
    <w:basedOn w:val="DefaultParagraphFont"/>
    <w:link w:val="CommentText"/>
    <w:uiPriority w:val="99"/>
    <w:semiHidden/>
    <w:rsid w:val="000311AF"/>
    <w:rPr>
      <w:sz w:val="20"/>
      <w:szCs w:val="20"/>
    </w:rPr>
  </w:style>
  <w:style w:type="paragraph" w:styleId="CommentSubject">
    <w:name w:val="annotation subject"/>
    <w:basedOn w:val="CommentText"/>
    <w:next w:val="CommentText"/>
    <w:link w:val="CommentSubjectChar"/>
    <w:uiPriority w:val="99"/>
    <w:semiHidden/>
    <w:unhideWhenUsed/>
    <w:rsid w:val="000311AF"/>
    <w:rPr>
      <w:b/>
      <w:bCs/>
    </w:rPr>
  </w:style>
  <w:style w:type="character" w:customStyle="1" w:styleId="CommentSubjectChar">
    <w:name w:val="Comment Subject Char"/>
    <w:basedOn w:val="CommentTextChar"/>
    <w:link w:val="CommentSubject"/>
    <w:uiPriority w:val="99"/>
    <w:semiHidden/>
    <w:rsid w:val="000311AF"/>
    <w:rPr>
      <w:b/>
      <w:bCs/>
      <w:sz w:val="20"/>
      <w:szCs w:val="20"/>
    </w:rPr>
  </w:style>
  <w:style w:type="paragraph" w:styleId="Revision">
    <w:name w:val="Revision"/>
    <w:hidden/>
    <w:uiPriority w:val="99"/>
    <w:semiHidden/>
    <w:rsid w:val="0010613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8B7"/>
    <w:pPr>
      <w:ind w:left="720"/>
      <w:contextualSpacing/>
    </w:pPr>
  </w:style>
  <w:style w:type="table" w:styleId="TableGrid">
    <w:name w:val="Table Grid"/>
    <w:basedOn w:val="TableNormal"/>
    <w:uiPriority w:val="59"/>
    <w:rsid w:val="00990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6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160"/>
  </w:style>
  <w:style w:type="paragraph" w:styleId="Footer">
    <w:name w:val="footer"/>
    <w:basedOn w:val="Normal"/>
    <w:link w:val="FooterChar"/>
    <w:uiPriority w:val="99"/>
    <w:unhideWhenUsed/>
    <w:rsid w:val="00BE6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160"/>
  </w:style>
  <w:style w:type="paragraph" w:styleId="BalloonText">
    <w:name w:val="Balloon Text"/>
    <w:basedOn w:val="Normal"/>
    <w:link w:val="BalloonTextChar"/>
    <w:uiPriority w:val="99"/>
    <w:semiHidden/>
    <w:unhideWhenUsed/>
    <w:rsid w:val="00BE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160"/>
    <w:rPr>
      <w:rFonts w:ascii="Tahoma" w:hAnsi="Tahoma" w:cs="Tahoma"/>
      <w:sz w:val="16"/>
      <w:szCs w:val="16"/>
    </w:rPr>
  </w:style>
  <w:style w:type="character" w:styleId="CommentReference">
    <w:name w:val="annotation reference"/>
    <w:basedOn w:val="DefaultParagraphFont"/>
    <w:uiPriority w:val="99"/>
    <w:semiHidden/>
    <w:unhideWhenUsed/>
    <w:rsid w:val="000311AF"/>
    <w:rPr>
      <w:sz w:val="16"/>
      <w:szCs w:val="16"/>
    </w:rPr>
  </w:style>
  <w:style w:type="paragraph" w:styleId="CommentText">
    <w:name w:val="annotation text"/>
    <w:basedOn w:val="Normal"/>
    <w:link w:val="CommentTextChar"/>
    <w:uiPriority w:val="99"/>
    <w:semiHidden/>
    <w:unhideWhenUsed/>
    <w:rsid w:val="000311AF"/>
    <w:pPr>
      <w:spacing w:line="240" w:lineRule="auto"/>
    </w:pPr>
    <w:rPr>
      <w:sz w:val="20"/>
      <w:szCs w:val="20"/>
    </w:rPr>
  </w:style>
  <w:style w:type="character" w:customStyle="1" w:styleId="CommentTextChar">
    <w:name w:val="Comment Text Char"/>
    <w:basedOn w:val="DefaultParagraphFont"/>
    <w:link w:val="CommentText"/>
    <w:uiPriority w:val="99"/>
    <w:semiHidden/>
    <w:rsid w:val="000311AF"/>
    <w:rPr>
      <w:sz w:val="20"/>
      <w:szCs w:val="20"/>
    </w:rPr>
  </w:style>
  <w:style w:type="paragraph" w:styleId="CommentSubject">
    <w:name w:val="annotation subject"/>
    <w:basedOn w:val="CommentText"/>
    <w:next w:val="CommentText"/>
    <w:link w:val="CommentSubjectChar"/>
    <w:uiPriority w:val="99"/>
    <w:semiHidden/>
    <w:unhideWhenUsed/>
    <w:rsid w:val="000311AF"/>
    <w:rPr>
      <w:b/>
      <w:bCs/>
    </w:rPr>
  </w:style>
  <w:style w:type="character" w:customStyle="1" w:styleId="CommentSubjectChar">
    <w:name w:val="Comment Subject Char"/>
    <w:basedOn w:val="CommentTextChar"/>
    <w:link w:val="CommentSubject"/>
    <w:uiPriority w:val="99"/>
    <w:semiHidden/>
    <w:rsid w:val="000311AF"/>
    <w:rPr>
      <w:b/>
      <w:bCs/>
      <w:sz w:val="20"/>
      <w:szCs w:val="20"/>
    </w:rPr>
  </w:style>
  <w:style w:type="paragraph" w:styleId="Revision">
    <w:name w:val="Revision"/>
    <w:hidden/>
    <w:uiPriority w:val="99"/>
    <w:semiHidden/>
    <w:rsid w:val="00106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4915A-9B25-5947-BC12-E77DA838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820</Words>
  <Characters>4680</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SCF</dc:creator>
  <cp:lastModifiedBy>Jason Born</cp:lastModifiedBy>
  <cp:revision>3</cp:revision>
  <cp:lastPrinted>2013-11-13T19:57:00Z</cp:lastPrinted>
  <dcterms:created xsi:type="dcterms:W3CDTF">2016-01-27T23:43:00Z</dcterms:created>
  <dcterms:modified xsi:type="dcterms:W3CDTF">2016-05-24T18:02:00Z</dcterms:modified>
</cp:coreProperties>
</file>