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5BA" w:rsidRPr="00AE5E64" w:rsidRDefault="00B275BA">
      <w:pPr>
        <w:rPr>
          <w:rFonts w:ascii="Work Sans" w:hAnsi="Work Sans"/>
          <w:sz w:val="24"/>
          <w:szCs w:val="24"/>
        </w:rPr>
      </w:pPr>
    </w:p>
    <w:p w:rsidR="00AC66DB" w:rsidRPr="00AE5E64" w:rsidRDefault="00425E3D" w:rsidP="00AC66DB">
      <w:pPr>
        <w:spacing w:after="0"/>
        <w:jc w:val="center"/>
        <w:rPr>
          <w:rFonts w:ascii="Work Sans" w:hAnsi="Work Sans"/>
          <w:b/>
          <w:sz w:val="24"/>
          <w:szCs w:val="24"/>
        </w:rPr>
      </w:pPr>
      <w:r>
        <w:rPr>
          <w:rFonts w:ascii="Work Sans" w:hAnsi="Work Sans"/>
          <w:b/>
          <w:sz w:val="24"/>
          <w:szCs w:val="24"/>
        </w:rPr>
        <w:t>Beyond 5%: Increasing Support in a Time of Crisis</w:t>
      </w:r>
    </w:p>
    <w:p w:rsidR="00A725B9" w:rsidRPr="00AE5E64" w:rsidRDefault="0043651F" w:rsidP="00B275BA">
      <w:pPr>
        <w:spacing w:after="0"/>
        <w:jc w:val="center"/>
        <w:rPr>
          <w:rFonts w:ascii="Work Sans" w:hAnsi="Work Sans"/>
          <w:b/>
          <w:sz w:val="24"/>
          <w:szCs w:val="24"/>
        </w:rPr>
      </w:pPr>
      <w:r>
        <w:rPr>
          <w:rFonts w:ascii="Work Sans" w:hAnsi="Work Sans"/>
          <w:b/>
          <w:sz w:val="24"/>
          <w:szCs w:val="24"/>
        </w:rPr>
        <w:t xml:space="preserve">NCFP </w:t>
      </w:r>
      <w:r w:rsidR="00425E3D">
        <w:rPr>
          <w:rFonts w:ascii="Work Sans" w:hAnsi="Work Sans"/>
          <w:b/>
          <w:sz w:val="24"/>
          <w:szCs w:val="24"/>
        </w:rPr>
        <w:t xml:space="preserve">Community Conversation </w:t>
      </w:r>
      <w:r w:rsidR="00AC66DB" w:rsidRPr="00AE5E64">
        <w:rPr>
          <w:rFonts w:ascii="Work Sans" w:hAnsi="Work Sans"/>
          <w:b/>
          <w:sz w:val="24"/>
          <w:szCs w:val="24"/>
        </w:rPr>
        <w:t>Resource List</w:t>
      </w:r>
    </w:p>
    <w:p w:rsidR="002F27BF" w:rsidRDefault="002F27BF" w:rsidP="005D63C2">
      <w:pPr>
        <w:spacing w:after="0"/>
        <w:rPr>
          <w:rFonts w:ascii="Work Sans" w:hAnsi="Work Sans"/>
          <w:sz w:val="24"/>
          <w:szCs w:val="24"/>
        </w:rPr>
      </w:pPr>
    </w:p>
    <w:p w:rsidR="00A20DD7" w:rsidRPr="00CF7BBB" w:rsidRDefault="00CF7BBB" w:rsidP="000A741A">
      <w:pPr>
        <w:spacing w:after="0"/>
        <w:rPr>
          <w:rStyle w:val="Hyperlink"/>
          <w:rFonts w:ascii="Work Sans" w:hAnsi="Work Sans"/>
          <w:b/>
          <w:color w:val="auto"/>
          <w:sz w:val="24"/>
          <w:szCs w:val="24"/>
        </w:rPr>
      </w:pPr>
      <w:r>
        <w:rPr>
          <w:rFonts w:ascii="Work Sans" w:hAnsi="Work Sans"/>
          <w:b/>
          <w:sz w:val="24"/>
          <w:szCs w:val="24"/>
        </w:rPr>
        <w:fldChar w:fldCharType="begin"/>
      </w:r>
      <w:r>
        <w:rPr>
          <w:rFonts w:ascii="Work Sans" w:hAnsi="Work Sans"/>
          <w:b/>
          <w:sz w:val="24"/>
          <w:szCs w:val="24"/>
        </w:rPr>
        <w:instrText xml:space="preserve"> HYPERLINK "https://www.ncfp.org/2020/03/10/a-balancing-test-for-foundation-spending/" </w:instrText>
      </w:r>
      <w:r>
        <w:rPr>
          <w:rFonts w:ascii="Work Sans" w:hAnsi="Work Sans"/>
          <w:b/>
          <w:sz w:val="24"/>
          <w:szCs w:val="24"/>
        </w:rPr>
        <w:fldChar w:fldCharType="separate"/>
      </w:r>
      <w:r w:rsidR="00A20DD7" w:rsidRPr="00CF7BBB">
        <w:rPr>
          <w:rStyle w:val="Hyperlink"/>
          <w:rFonts w:ascii="Work Sans" w:hAnsi="Work Sans"/>
          <w:b/>
          <w:color w:val="auto"/>
          <w:sz w:val="24"/>
          <w:szCs w:val="24"/>
        </w:rPr>
        <w:t>A ‘Balancing Test’ for Foundation Spending</w:t>
      </w:r>
    </w:p>
    <w:p w:rsidR="00A20DD7" w:rsidRPr="00A20DD7" w:rsidRDefault="00CF7BBB" w:rsidP="000A741A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b/>
          <w:sz w:val="24"/>
          <w:szCs w:val="24"/>
        </w:rPr>
        <w:fldChar w:fldCharType="end"/>
      </w:r>
      <w:r w:rsidR="00A20DD7" w:rsidRPr="00A20DD7">
        <w:rPr>
          <w:rFonts w:ascii="Work Sans" w:hAnsi="Work Sans"/>
          <w:sz w:val="24"/>
          <w:szCs w:val="24"/>
        </w:rPr>
        <w:t>Stanford Social Innovation Review, 2020</w:t>
      </w:r>
    </w:p>
    <w:p w:rsidR="00A20DD7" w:rsidRDefault="00A20DD7" w:rsidP="000A741A">
      <w:pPr>
        <w:spacing w:after="0"/>
      </w:pPr>
    </w:p>
    <w:p w:rsidR="000A741A" w:rsidRPr="00323E40" w:rsidRDefault="00973E54" w:rsidP="000A741A">
      <w:pPr>
        <w:spacing w:after="0"/>
        <w:rPr>
          <w:rFonts w:ascii="Work Sans" w:hAnsi="Work Sans"/>
          <w:b/>
          <w:sz w:val="24"/>
          <w:szCs w:val="24"/>
        </w:rPr>
      </w:pPr>
      <w:hyperlink r:id="rId7" w:history="1">
        <w:r w:rsidR="000A741A" w:rsidRPr="00323E40">
          <w:rPr>
            <w:rStyle w:val="Hyperlink"/>
            <w:rFonts w:ascii="Work Sans" w:hAnsi="Work Sans"/>
            <w:b/>
            <w:color w:val="auto"/>
            <w:sz w:val="24"/>
            <w:szCs w:val="24"/>
          </w:rPr>
          <w:t xml:space="preserve">A Call to Action: Philanthropy’s Commitment </w:t>
        </w:r>
        <w:r w:rsidR="008A70B3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D</w:t>
        </w:r>
        <w:r w:rsidR="000A741A" w:rsidRPr="00323E40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uring COVID-19</w:t>
        </w:r>
      </w:hyperlink>
    </w:p>
    <w:p w:rsidR="000A741A" w:rsidRDefault="000A741A" w:rsidP="000A741A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Council on Foundations, 2020</w:t>
      </w:r>
    </w:p>
    <w:p w:rsidR="000A741A" w:rsidRDefault="000A741A" w:rsidP="000A741A">
      <w:pPr>
        <w:spacing w:after="0"/>
        <w:rPr>
          <w:rFonts w:ascii="Work Sans" w:hAnsi="Work Sans"/>
          <w:sz w:val="24"/>
          <w:szCs w:val="24"/>
        </w:rPr>
      </w:pPr>
    </w:p>
    <w:p w:rsidR="000A741A" w:rsidRPr="001C2A20" w:rsidRDefault="00973E54" w:rsidP="000A741A">
      <w:pPr>
        <w:spacing w:after="0"/>
        <w:rPr>
          <w:rFonts w:ascii="Work Sans" w:hAnsi="Work Sans"/>
          <w:b/>
          <w:sz w:val="24"/>
          <w:szCs w:val="24"/>
        </w:rPr>
      </w:pPr>
      <w:hyperlink r:id="rId8" w:history="1">
        <w:r w:rsidR="000A741A" w:rsidRPr="001C2A20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Bold and Generous Giving by the Mary Reynolds Babcock Foundation</w:t>
        </w:r>
      </w:hyperlink>
    </w:p>
    <w:p w:rsidR="000A741A" w:rsidRPr="00425E3D" w:rsidRDefault="000A741A" w:rsidP="000A741A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National Center for Family Philanthropy, 2020</w:t>
      </w:r>
    </w:p>
    <w:p w:rsidR="000A741A" w:rsidRDefault="000A741A" w:rsidP="005D63C2">
      <w:pPr>
        <w:spacing w:after="0"/>
        <w:rPr>
          <w:rFonts w:ascii="Work Sans" w:hAnsi="Work Sans"/>
          <w:b/>
          <w:sz w:val="24"/>
          <w:szCs w:val="24"/>
          <w:u w:val="single"/>
        </w:rPr>
      </w:pPr>
    </w:p>
    <w:p w:rsidR="000A741A" w:rsidRPr="00B02562" w:rsidRDefault="00973E54" w:rsidP="000A741A">
      <w:pPr>
        <w:spacing w:after="0"/>
        <w:rPr>
          <w:rFonts w:ascii="Work Sans" w:hAnsi="Work Sans"/>
          <w:b/>
          <w:sz w:val="24"/>
          <w:szCs w:val="24"/>
        </w:rPr>
      </w:pPr>
      <w:hyperlink r:id="rId9" w:history="1">
        <w:r w:rsidR="000A741A" w:rsidRPr="00B02562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COVID-19: Response and Recovery Resources for Giving Families</w:t>
        </w:r>
      </w:hyperlink>
    </w:p>
    <w:p w:rsidR="000A741A" w:rsidRDefault="000A741A" w:rsidP="000A741A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National Center for Family Philanthropy, 2020</w:t>
      </w:r>
    </w:p>
    <w:p w:rsidR="000A741A" w:rsidRDefault="000A741A" w:rsidP="005D63C2">
      <w:pPr>
        <w:spacing w:after="0"/>
        <w:rPr>
          <w:rFonts w:ascii="Work Sans" w:hAnsi="Work Sans"/>
          <w:b/>
          <w:sz w:val="24"/>
          <w:szCs w:val="24"/>
          <w:u w:val="single"/>
        </w:rPr>
      </w:pPr>
    </w:p>
    <w:p w:rsidR="003D7538" w:rsidRDefault="00973E54" w:rsidP="003D7538">
      <w:pPr>
        <w:spacing w:after="0"/>
        <w:rPr>
          <w:rFonts w:ascii="Work Sans" w:hAnsi="Work Sans"/>
          <w:b/>
          <w:sz w:val="24"/>
          <w:szCs w:val="24"/>
        </w:rPr>
      </w:pPr>
      <w:hyperlink r:id="rId10" w:history="1">
        <w:r w:rsidR="003D7538" w:rsidRPr="0062775D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Hill-Snowdon Foundation's Preliminary Plan of Action for COVID-19 Crisis</w:t>
        </w:r>
      </w:hyperlink>
    </w:p>
    <w:p w:rsidR="003D7538" w:rsidRDefault="003D7538" w:rsidP="003D7538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Hill-Snowdon Foundation, 2020</w:t>
      </w:r>
    </w:p>
    <w:p w:rsidR="0043651F" w:rsidRDefault="0043651F" w:rsidP="003D7538">
      <w:pPr>
        <w:spacing w:after="0"/>
        <w:rPr>
          <w:rFonts w:ascii="Work Sans" w:hAnsi="Work Sans"/>
          <w:sz w:val="24"/>
          <w:szCs w:val="24"/>
        </w:rPr>
      </w:pPr>
    </w:p>
    <w:p w:rsidR="0043651F" w:rsidRPr="00DA365C" w:rsidRDefault="00973E54" w:rsidP="0043651F">
      <w:pPr>
        <w:spacing w:after="0"/>
        <w:rPr>
          <w:rFonts w:ascii="Work Sans" w:hAnsi="Work Sans"/>
          <w:b/>
          <w:sz w:val="24"/>
          <w:szCs w:val="24"/>
        </w:rPr>
      </w:pPr>
      <w:hyperlink r:id="rId11" w:history="1">
        <w:r w:rsidR="0043651F" w:rsidRPr="00DA365C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How to Best Support Nonprofits through Uncertainty</w:t>
        </w:r>
      </w:hyperlink>
    </w:p>
    <w:p w:rsidR="0043651F" w:rsidRPr="0062775D" w:rsidRDefault="009A7CA2" w:rsidP="003D7538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National Center for Family Philanthropy</w:t>
      </w:r>
      <w:r w:rsidR="0043651F">
        <w:rPr>
          <w:rFonts w:ascii="Work Sans" w:hAnsi="Work Sans"/>
          <w:sz w:val="24"/>
          <w:szCs w:val="24"/>
        </w:rPr>
        <w:t>, 2020</w:t>
      </w:r>
    </w:p>
    <w:p w:rsidR="003D7538" w:rsidRDefault="003D7538" w:rsidP="005D63C2">
      <w:pPr>
        <w:spacing w:after="0"/>
        <w:rPr>
          <w:rFonts w:ascii="Work Sans" w:hAnsi="Work Sans"/>
          <w:b/>
          <w:sz w:val="24"/>
          <w:szCs w:val="24"/>
          <w:u w:val="single"/>
        </w:rPr>
      </w:pPr>
    </w:p>
    <w:p w:rsidR="00425E3D" w:rsidRPr="00C96614" w:rsidRDefault="00973E54" w:rsidP="005D63C2">
      <w:pPr>
        <w:spacing w:after="0"/>
        <w:rPr>
          <w:rFonts w:ascii="Work Sans" w:hAnsi="Work Sans"/>
          <w:b/>
          <w:sz w:val="24"/>
          <w:szCs w:val="24"/>
          <w:u w:val="single"/>
        </w:rPr>
      </w:pPr>
      <w:hyperlink r:id="rId12" w:history="1">
        <w:r w:rsidR="00425E3D" w:rsidRPr="00C96614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The Libra Foundation doubles grantmaking in 2020 including their latest docket – $22 million to social justice organizations</w:t>
        </w:r>
      </w:hyperlink>
    </w:p>
    <w:p w:rsidR="00425E3D" w:rsidRDefault="00425E3D" w:rsidP="005D63C2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The Libra Foundation, 2020</w:t>
      </w:r>
    </w:p>
    <w:p w:rsidR="00C96614" w:rsidRDefault="00C96614" w:rsidP="005D63C2">
      <w:pPr>
        <w:spacing w:after="0"/>
        <w:rPr>
          <w:rFonts w:ascii="Work Sans" w:hAnsi="Work Sans"/>
          <w:sz w:val="24"/>
          <w:szCs w:val="24"/>
        </w:rPr>
      </w:pPr>
    </w:p>
    <w:p w:rsidR="000A741A" w:rsidRPr="00E31F2C" w:rsidRDefault="00973E54" w:rsidP="000A741A">
      <w:pPr>
        <w:spacing w:after="0"/>
        <w:rPr>
          <w:rFonts w:ascii="Work Sans" w:hAnsi="Work Sans"/>
          <w:b/>
          <w:sz w:val="24"/>
          <w:szCs w:val="24"/>
        </w:rPr>
      </w:pPr>
      <w:hyperlink r:id="rId13" w:history="1">
        <w:r w:rsidR="000A741A" w:rsidRPr="00E31F2C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My Favorite Funder Responses So Far to COVID-19</w:t>
        </w:r>
      </w:hyperlink>
    </w:p>
    <w:p w:rsidR="00425E3D" w:rsidRDefault="000A741A" w:rsidP="005D63C2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National Committee for Responsive Philanthropy, 2020</w:t>
      </w:r>
    </w:p>
    <w:p w:rsidR="00323E40" w:rsidRDefault="00323E40" w:rsidP="005D63C2">
      <w:pPr>
        <w:spacing w:after="0"/>
        <w:rPr>
          <w:rFonts w:ascii="Work Sans" w:hAnsi="Work Sans"/>
          <w:sz w:val="24"/>
          <w:szCs w:val="24"/>
        </w:rPr>
      </w:pPr>
    </w:p>
    <w:p w:rsidR="00323E40" w:rsidRPr="005F2DAB" w:rsidRDefault="00973E54" w:rsidP="005D63C2">
      <w:pPr>
        <w:spacing w:after="0"/>
        <w:rPr>
          <w:rFonts w:ascii="Work Sans" w:hAnsi="Work Sans"/>
          <w:b/>
          <w:sz w:val="24"/>
          <w:szCs w:val="24"/>
        </w:rPr>
      </w:pPr>
      <w:hyperlink r:id="rId14" w:history="1">
        <w:r w:rsidR="005F2DAB" w:rsidRPr="005F2DAB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NCFP Signs Joint Statement Promoting Greater Payout</w:t>
        </w:r>
      </w:hyperlink>
    </w:p>
    <w:p w:rsidR="005F2DAB" w:rsidRDefault="005F2DAB" w:rsidP="005D63C2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National Center for Family Philanthropy, 2020</w:t>
      </w:r>
    </w:p>
    <w:p w:rsidR="001D16D9" w:rsidRDefault="001D16D9" w:rsidP="005D63C2">
      <w:pPr>
        <w:spacing w:after="0"/>
        <w:rPr>
          <w:rFonts w:ascii="Work Sans" w:hAnsi="Work Sans"/>
          <w:sz w:val="24"/>
          <w:szCs w:val="24"/>
        </w:rPr>
      </w:pPr>
    </w:p>
    <w:p w:rsidR="001D16D9" w:rsidRPr="001D16D9" w:rsidRDefault="00973E54" w:rsidP="005D63C2">
      <w:pPr>
        <w:spacing w:after="0"/>
        <w:rPr>
          <w:rFonts w:ascii="Work Sans" w:hAnsi="Work Sans"/>
          <w:b/>
          <w:sz w:val="24"/>
          <w:szCs w:val="24"/>
        </w:rPr>
      </w:pPr>
      <w:hyperlink r:id="rId15" w:history="1">
        <w:r w:rsidR="001D16D9" w:rsidRPr="001D16D9">
          <w:rPr>
            <w:rStyle w:val="Hyperlink"/>
            <w:rFonts w:ascii="Work Sans" w:hAnsi="Work Sans"/>
            <w:b/>
            <w:color w:val="auto"/>
            <w:sz w:val="24"/>
            <w:szCs w:val="24"/>
          </w:rPr>
          <w:t xml:space="preserve">The Power </w:t>
        </w:r>
        <w:r w:rsidR="008A70B3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a</w:t>
        </w:r>
        <w:r w:rsidR="001D16D9" w:rsidRPr="001D16D9">
          <w:rPr>
            <w:rStyle w:val="Hyperlink"/>
            <w:rFonts w:ascii="Work Sans" w:hAnsi="Work Sans"/>
            <w:b/>
            <w:color w:val="auto"/>
            <w:sz w:val="24"/>
            <w:szCs w:val="24"/>
          </w:rPr>
          <w:t xml:space="preserve">nd Precedent </w:t>
        </w:r>
        <w:r w:rsidR="008A70B3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o</w:t>
        </w:r>
        <w:r w:rsidR="001D16D9" w:rsidRPr="001D16D9">
          <w:rPr>
            <w:rStyle w:val="Hyperlink"/>
            <w:rFonts w:ascii="Work Sans" w:hAnsi="Work Sans"/>
            <w:b/>
            <w:color w:val="auto"/>
            <w:sz w:val="24"/>
            <w:szCs w:val="24"/>
          </w:rPr>
          <w:t xml:space="preserve">f Countercyclical Grantmaking: What </w:t>
        </w:r>
        <w:r w:rsidR="008A70B3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t</w:t>
        </w:r>
        <w:r w:rsidR="001D16D9" w:rsidRPr="001D16D9">
          <w:rPr>
            <w:rStyle w:val="Hyperlink"/>
            <w:rFonts w:ascii="Work Sans" w:hAnsi="Work Sans"/>
            <w:b/>
            <w:color w:val="auto"/>
            <w:sz w:val="24"/>
            <w:szCs w:val="24"/>
          </w:rPr>
          <w:t xml:space="preserve">he Funders Who Gave More During </w:t>
        </w:r>
        <w:r w:rsidR="008A70B3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t</w:t>
        </w:r>
        <w:r w:rsidR="001D16D9" w:rsidRPr="001D16D9">
          <w:rPr>
            <w:rStyle w:val="Hyperlink"/>
            <w:rFonts w:ascii="Work Sans" w:hAnsi="Work Sans"/>
            <w:b/>
            <w:color w:val="auto"/>
            <w:sz w:val="24"/>
            <w:szCs w:val="24"/>
          </w:rPr>
          <w:t xml:space="preserve">he Great Recession Can Teach Philanthropy During </w:t>
        </w:r>
        <w:r w:rsidR="008A70B3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t</w:t>
        </w:r>
        <w:r w:rsidR="001D16D9" w:rsidRPr="001D16D9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he Covid-19 Crisis</w:t>
        </w:r>
      </w:hyperlink>
    </w:p>
    <w:p w:rsidR="001D16D9" w:rsidRDefault="001D16D9" w:rsidP="005D63C2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HistPhil, 2020</w:t>
      </w:r>
    </w:p>
    <w:p w:rsidR="00492393" w:rsidRDefault="00492393" w:rsidP="005D63C2">
      <w:pPr>
        <w:spacing w:after="0"/>
        <w:rPr>
          <w:rFonts w:ascii="Work Sans" w:hAnsi="Work Sans"/>
          <w:sz w:val="24"/>
          <w:szCs w:val="24"/>
        </w:rPr>
      </w:pPr>
    </w:p>
    <w:p w:rsidR="00492393" w:rsidRPr="00492393" w:rsidRDefault="00973E54" w:rsidP="00492393">
      <w:pPr>
        <w:spacing w:after="0"/>
        <w:rPr>
          <w:rFonts w:ascii="Work Sans" w:hAnsi="Work Sans"/>
          <w:b/>
          <w:sz w:val="24"/>
          <w:szCs w:val="24"/>
        </w:rPr>
      </w:pPr>
      <w:hyperlink r:id="rId16" w:history="1">
        <w:r w:rsidR="00492393" w:rsidRPr="00492393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Supporting Our Unsung Heroes in a Moment of Crisis: Part 4</w:t>
        </w:r>
      </w:hyperlink>
    </w:p>
    <w:p w:rsidR="00492393" w:rsidRDefault="00492393" w:rsidP="00492393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Center for Effective Philanthropy, 2020</w:t>
      </w:r>
    </w:p>
    <w:p w:rsidR="0062775D" w:rsidRDefault="0062775D" w:rsidP="00492393">
      <w:pPr>
        <w:spacing w:after="0"/>
        <w:rPr>
          <w:rFonts w:ascii="Work Sans" w:hAnsi="Work Sans"/>
          <w:sz w:val="24"/>
          <w:szCs w:val="24"/>
        </w:rPr>
      </w:pPr>
    </w:p>
    <w:p w:rsidR="00C7537F" w:rsidRPr="00B75AE3" w:rsidRDefault="00B75AE3" w:rsidP="005D63C2">
      <w:pPr>
        <w:spacing w:after="0"/>
        <w:rPr>
          <w:rFonts w:ascii="Work Sans" w:hAnsi="Work Sans"/>
          <w:b/>
          <w:sz w:val="24"/>
          <w:szCs w:val="24"/>
        </w:rPr>
      </w:pPr>
      <w:hyperlink r:id="rId17" w:history="1">
        <w:r w:rsidRPr="00B75AE3">
          <w:rPr>
            <w:rStyle w:val="Hyperlink"/>
            <w:rFonts w:ascii="Work Sans" w:hAnsi="Work Sans"/>
            <w:b/>
            <w:color w:val="auto"/>
            <w:sz w:val="24"/>
            <w:szCs w:val="24"/>
          </w:rPr>
          <w:t>Tracking Race and Ethnicity in the COVID-19 Pandemic</w:t>
        </w:r>
      </w:hyperlink>
      <w:bookmarkStart w:id="0" w:name="_GoBack"/>
      <w:bookmarkEnd w:id="0"/>
    </w:p>
    <w:p w:rsidR="00B75AE3" w:rsidRDefault="00B75AE3" w:rsidP="005D63C2">
      <w:pPr>
        <w:spacing w:after="0"/>
        <w:rPr>
          <w:rFonts w:ascii="Work Sans" w:hAnsi="Work Sans"/>
          <w:sz w:val="24"/>
          <w:szCs w:val="24"/>
        </w:rPr>
      </w:pPr>
      <w:r>
        <w:rPr>
          <w:rFonts w:ascii="Work Sans" w:hAnsi="Work Sans"/>
          <w:sz w:val="24"/>
          <w:szCs w:val="24"/>
        </w:rPr>
        <w:t>The COVID Tracking Project, 2020</w:t>
      </w:r>
    </w:p>
    <w:sectPr w:rsidR="00B75AE3" w:rsidSect="00973E54">
      <w:headerReference w:type="default" r:id="rId18"/>
      <w:pgSz w:w="12240" w:h="15840"/>
      <w:pgMar w:top="1008" w:right="1296" w:bottom="1008" w:left="1296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66B" w:rsidRDefault="005A566B" w:rsidP="00B1538F">
      <w:pPr>
        <w:spacing w:after="0" w:line="240" w:lineRule="auto"/>
      </w:pPr>
      <w:r>
        <w:separator/>
      </w:r>
    </w:p>
  </w:endnote>
  <w:endnote w:type="continuationSeparator" w:id="0">
    <w:p w:rsidR="005A566B" w:rsidRDefault="005A566B" w:rsidP="00B1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66B" w:rsidRDefault="005A566B" w:rsidP="00B1538F">
      <w:pPr>
        <w:spacing w:after="0" w:line="240" w:lineRule="auto"/>
      </w:pPr>
      <w:r>
        <w:separator/>
      </w:r>
    </w:p>
  </w:footnote>
  <w:footnote w:type="continuationSeparator" w:id="0">
    <w:p w:rsidR="005A566B" w:rsidRDefault="005A566B" w:rsidP="00B1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8F" w:rsidRDefault="00B1538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-901700</wp:posOffset>
          </wp:positionV>
          <wp:extent cx="7772363" cy="100584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- No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034D6"/>
    <w:multiLevelType w:val="hybridMultilevel"/>
    <w:tmpl w:val="5E8E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4465B"/>
    <w:multiLevelType w:val="hybridMultilevel"/>
    <w:tmpl w:val="A63E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6D65"/>
    <w:multiLevelType w:val="hybridMultilevel"/>
    <w:tmpl w:val="79EC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07C24"/>
    <w:multiLevelType w:val="hybridMultilevel"/>
    <w:tmpl w:val="856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E6"/>
    <w:rsid w:val="00000600"/>
    <w:rsid w:val="00047CA5"/>
    <w:rsid w:val="000A00AE"/>
    <w:rsid w:val="000A741A"/>
    <w:rsid w:val="000E0D0E"/>
    <w:rsid w:val="000F3889"/>
    <w:rsid w:val="0015741E"/>
    <w:rsid w:val="00166C1B"/>
    <w:rsid w:val="001747BE"/>
    <w:rsid w:val="001A34D1"/>
    <w:rsid w:val="001C2A20"/>
    <w:rsid w:val="001C79C2"/>
    <w:rsid w:val="001D16D9"/>
    <w:rsid w:val="00223365"/>
    <w:rsid w:val="00227D84"/>
    <w:rsid w:val="00231A69"/>
    <w:rsid w:val="00247109"/>
    <w:rsid w:val="002A53D3"/>
    <w:rsid w:val="002A67F3"/>
    <w:rsid w:val="002C16F8"/>
    <w:rsid w:val="002E48D8"/>
    <w:rsid w:val="002F27BF"/>
    <w:rsid w:val="002F5886"/>
    <w:rsid w:val="002F7CCE"/>
    <w:rsid w:val="00323E40"/>
    <w:rsid w:val="00372F75"/>
    <w:rsid w:val="0037516E"/>
    <w:rsid w:val="00380AB0"/>
    <w:rsid w:val="003A2B2A"/>
    <w:rsid w:val="003B15E3"/>
    <w:rsid w:val="003D7538"/>
    <w:rsid w:val="00405E56"/>
    <w:rsid w:val="004259C9"/>
    <w:rsid w:val="00425E3D"/>
    <w:rsid w:val="0043651F"/>
    <w:rsid w:val="004549BD"/>
    <w:rsid w:val="00470D2D"/>
    <w:rsid w:val="00485312"/>
    <w:rsid w:val="00492393"/>
    <w:rsid w:val="004E7A88"/>
    <w:rsid w:val="004F1A57"/>
    <w:rsid w:val="004F1F96"/>
    <w:rsid w:val="00501715"/>
    <w:rsid w:val="00503A45"/>
    <w:rsid w:val="00524779"/>
    <w:rsid w:val="0058693F"/>
    <w:rsid w:val="005A566B"/>
    <w:rsid w:val="005D63C2"/>
    <w:rsid w:val="005F2DAB"/>
    <w:rsid w:val="005F47A1"/>
    <w:rsid w:val="006217DB"/>
    <w:rsid w:val="0062775D"/>
    <w:rsid w:val="00645CB8"/>
    <w:rsid w:val="00685FE7"/>
    <w:rsid w:val="00690566"/>
    <w:rsid w:val="00706982"/>
    <w:rsid w:val="007B448B"/>
    <w:rsid w:val="007F2D6B"/>
    <w:rsid w:val="00800F25"/>
    <w:rsid w:val="00894C57"/>
    <w:rsid w:val="008A70B3"/>
    <w:rsid w:val="008C1233"/>
    <w:rsid w:val="008D3DE6"/>
    <w:rsid w:val="008E214A"/>
    <w:rsid w:val="008F6136"/>
    <w:rsid w:val="00973E54"/>
    <w:rsid w:val="009A693B"/>
    <w:rsid w:val="009A7CA2"/>
    <w:rsid w:val="00A20DD7"/>
    <w:rsid w:val="00A32B3C"/>
    <w:rsid w:val="00A44994"/>
    <w:rsid w:val="00A569E7"/>
    <w:rsid w:val="00A725B9"/>
    <w:rsid w:val="00A74A1F"/>
    <w:rsid w:val="00A9369E"/>
    <w:rsid w:val="00A93CB7"/>
    <w:rsid w:val="00AC66DB"/>
    <w:rsid w:val="00AE5E64"/>
    <w:rsid w:val="00AE6539"/>
    <w:rsid w:val="00B02562"/>
    <w:rsid w:val="00B1538F"/>
    <w:rsid w:val="00B275BA"/>
    <w:rsid w:val="00B37E96"/>
    <w:rsid w:val="00B75AE3"/>
    <w:rsid w:val="00BD1E97"/>
    <w:rsid w:val="00C60868"/>
    <w:rsid w:val="00C66CE3"/>
    <w:rsid w:val="00C7537F"/>
    <w:rsid w:val="00C96614"/>
    <w:rsid w:val="00CA6E20"/>
    <w:rsid w:val="00CD3CA2"/>
    <w:rsid w:val="00CF7BBB"/>
    <w:rsid w:val="00DA365C"/>
    <w:rsid w:val="00DB5F5A"/>
    <w:rsid w:val="00E31F2C"/>
    <w:rsid w:val="00E741D0"/>
    <w:rsid w:val="00E76959"/>
    <w:rsid w:val="00E778EF"/>
    <w:rsid w:val="00E866F3"/>
    <w:rsid w:val="00EB2DE3"/>
    <w:rsid w:val="00EE438E"/>
    <w:rsid w:val="00EF3879"/>
    <w:rsid w:val="00F00F66"/>
    <w:rsid w:val="00F138B1"/>
    <w:rsid w:val="00F8571B"/>
    <w:rsid w:val="00FD107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AFC6DCC"/>
  <w15:chartTrackingRefBased/>
  <w15:docId w15:val="{ACEF3DD5-185E-44D9-86E9-71D832CE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38F"/>
  </w:style>
  <w:style w:type="paragraph" w:styleId="Footer">
    <w:name w:val="footer"/>
    <w:basedOn w:val="Normal"/>
    <w:link w:val="FooterChar"/>
    <w:uiPriority w:val="99"/>
    <w:unhideWhenUsed/>
    <w:rsid w:val="00B1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8F"/>
  </w:style>
  <w:style w:type="character" w:styleId="Hyperlink">
    <w:name w:val="Hyperlink"/>
    <w:basedOn w:val="DefaultParagraphFont"/>
    <w:uiPriority w:val="99"/>
    <w:unhideWhenUsed/>
    <w:rsid w:val="005D63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3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3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1E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0F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fp.org/2020/04/06/bold-and-generous-giving-by-the-mary-reynolds-babcock-foundation/" TargetMode="External"/><Relationship Id="rId13" Type="http://schemas.openxmlformats.org/officeDocument/2006/relationships/hyperlink" Target="https://www.ncrp.org/2020/03/my-favorite-funder-responses-so-far-to-covid-19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f.org/news/call-action-philanthropys-commitment-during-covid-19" TargetMode="External"/><Relationship Id="rId12" Type="http://schemas.openxmlformats.org/officeDocument/2006/relationships/hyperlink" Target="https://www.thelibrafoundation.org/2020/04/the-libra-foundation-doubles-grantmaking-in-2020-including-their-latest-docket-22-million-to-social-justice-organizations/" TargetMode="External"/><Relationship Id="rId17" Type="http://schemas.openxmlformats.org/officeDocument/2006/relationships/hyperlink" Target="https://covidtracking.com/blog/tracking-race-and-ethnici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cep.org/supporting-our-unsung-heroes-in-a-moment-of-crisis-part-4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fp.org/2020/03/27/how-to-best-support-nonprofits-through-uncertaint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istphil.org/2020/04/09/the-power-and-precedent-of-countercyclical-grantmaking-what-the-funders-who-gave-more-during-the-great-recession-can-teach-philanthropy-during-the-covid-19-crisis/" TargetMode="External"/><Relationship Id="rId10" Type="http://schemas.openxmlformats.org/officeDocument/2006/relationships/hyperlink" Target="https://www.hillsnowdon.org/covid-1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fp.org/collection/covid-19-coronavirus-resources/" TargetMode="External"/><Relationship Id="rId14" Type="http://schemas.openxmlformats.org/officeDocument/2006/relationships/hyperlink" Target="https://www.ncfp.org/2020/04/02/ncfp-signs-joint-statement-promoting-greater-payou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McGoldrick</dc:creator>
  <cp:keywords/>
  <dc:description/>
  <cp:lastModifiedBy>Jen Crino</cp:lastModifiedBy>
  <cp:revision>93</cp:revision>
  <dcterms:created xsi:type="dcterms:W3CDTF">2020-02-12T18:31:00Z</dcterms:created>
  <dcterms:modified xsi:type="dcterms:W3CDTF">2020-04-16T14:56:00Z</dcterms:modified>
</cp:coreProperties>
</file>