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270"/>
        <w:gridCol w:w="5210"/>
      </w:tblGrid>
      <w:tr w:rsidR="00817D02" w:rsidRPr="000F0BB5" w14:paraId="4B9D992F" w14:textId="77777777" w:rsidTr="000F0BB5">
        <w:tc>
          <w:tcPr>
            <w:tcW w:w="3870" w:type="dxa"/>
          </w:tcPr>
          <w:p w14:paraId="75F43A70" w14:textId="213966EF" w:rsidR="00817D02" w:rsidRPr="00355338" w:rsidRDefault="00817D02">
            <w:pPr>
              <w:rPr>
                <w:b/>
                <w:bCs/>
              </w:rPr>
            </w:pPr>
            <w:r w:rsidRPr="00355338">
              <w:rPr>
                <w:b/>
                <w:bCs/>
              </w:rPr>
              <w:t xml:space="preserve">FOR RELEASE ON </w:t>
            </w:r>
            <w:r w:rsidRPr="00355338">
              <w:t>[</w:t>
            </w:r>
            <w:r w:rsidR="00355338" w:rsidRPr="00355338">
              <w:rPr>
                <w:i/>
                <w:iCs/>
              </w:rPr>
              <w:t>9</w:t>
            </w:r>
            <w:r w:rsidR="001B77AA">
              <w:rPr>
                <w:i/>
                <w:iCs/>
              </w:rPr>
              <w:t>/</w:t>
            </w:r>
            <w:r w:rsidR="00355338" w:rsidRPr="00355338">
              <w:rPr>
                <w:i/>
                <w:iCs/>
              </w:rPr>
              <w:t>2</w:t>
            </w:r>
            <w:r w:rsidR="00326328">
              <w:rPr>
                <w:i/>
                <w:iCs/>
              </w:rPr>
              <w:t>4</w:t>
            </w:r>
            <w:r w:rsidR="001B77AA">
              <w:rPr>
                <w:i/>
                <w:iCs/>
              </w:rPr>
              <w:t>/</w:t>
            </w:r>
            <w:r w:rsidR="00355338" w:rsidRPr="00355338">
              <w:rPr>
                <w:i/>
                <w:iCs/>
              </w:rPr>
              <w:t>2021</w:t>
            </w:r>
            <w:r w:rsidRPr="00355338">
              <w:t>]</w:t>
            </w:r>
            <w:r w:rsidRPr="00355338">
              <w:rPr>
                <w:b/>
                <w:bCs/>
              </w:rPr>
              <w:t xml:space="preserve"> AT </w:t>
            </w:r>
            <w:r w:rsidRPr="00355338">
              <w:t>[</w:t>
            </w:r>
            <w:r w:rsidR="00355338" w:rsidRPr="00355338">
              <w:rPr>
                <w:i/>
                <w:iCs/>
              </w:rPr>
              <w:t>2:00 pm EST</w:t>
            </w:r>
            <w:r w:rsidRPr="00355338">
              <w:t>]</w:t>
            </w:r>
          </w:p>
        </w:tc>
        <w:tc>
          <w:tcPr>
            <w:tcW w:w="270" w:type="dxa"/>
          </w:tcPr>
          <w:p w14:paraId="3572C29D" w14:textId="77777777" w:rsidR="00817D02" w:rsidRPr="000F0BB5" w:rsidRDefault="00817D02"/>
        </w:tc>
        <w:tc>
          <w:tcPr>
            <w:tcW w:w="5210" w:type="dxa"/>
          </w:tcPr>
          <w:p w14:paraId="0EA0D87B" w14:textId="32C98272" w:rsidR="00817D02" w:rsidRPr="000F0BB5" w:rsidRDefault="00817D02">
            <w:r w:rsidRPr="000F0BB5">
              <w:rPr>
                <w:b/>
                <w:bCs/>
              </w:rPr>
              <w:t>Contact:</w:t>
            </w:r>
            <w:r w:rsidRPr="000F0BB5">
              <w:t xml:space="preserve"> </w:t>
            </w:r>
            <w:r w:rsidR="00135FB8">
              <w:t xml:space="preserve">Marlene Young, </w:t>
            </w:r>
            <w:bookmarkStart w:id="0" w:name="_GoBack"/>
            <w:r w:rsidR="00135FB8">
              <w:t>Delaplaine Foundation</w:t>
            </w:r>
            <w:bookmarkEnd w:id="0"/>
            <w:r w:rsidR="00135FB8">
              <w:t xml:space="preserve">, Inc. </w:t>
            </w:r>
          </w:p>
        </w:tc>
      </w:tr>
      <w:tr w:rsidR="00817D02" w:rsidRPr="000F0BB5" w14:paraId="207AB960" w14:textId="77777777" w:rsidTr="000F0BB5">
        <w:tc>
          <w:tcPr>
            <w:tcW w:w="3870" w:type="dxa"/>
          </w:tcPr>
          <w:p w14:paraId="780A8A3F" w14:textId="77777777" w:rsidR="00817D02" w:rsidRPr="000F0BB5" w:rsidRDefault="00817D02"/>
        </w:tc>
        <w:tc>
          <w:tcPr>
            <w:tcW w:w="270" w:type="dxa"/>
          </w:tcPr>
          <w:p w14:paraId="47667B7D" w14:textId="77777777" w:rsidR="00817D02" w:rsidRPr="000F0BB5" w:rsidRDefault="00817D02"/>
        </w:tc>
        <w:tc>
          <w:tcPr>
            <w:tcW w:w="5210" w:type="dxa"/>
          </w:tcPr>
          <w:p w14:paraId="419C33C4" w14:textId="559EE503" w:rsidR="00817D02" w:rsidRPr="000F0BB5" w:rsidRDefault="00817D02">
            <w:r w:rsidRPr="000F0BB5">
              <w:rPr>
                <w:b/>
                <w:bCs/>
              </w:rPr>
              <w:t xml:space="preserve">Phone: </w:t>
            </w:r>
            <w:r w:rsidR="00815A77" w:rsidRPr="00815A77">
              <w:rPr>
                <w:rFonts w:cstheme="minorHAnsi"/>
                <w:color w:val="201F1E"/>
              </w:rPr>
              <w:t>301.662.2753</w:t>
            </w:r>
          </w:p>
        </w:tc>
      </w:tr>
      <w:tr w:rsidR="00817D02" w:rsidRPr="000F0BB5" w14:paraId="48C4A4D6" w14:textId="77777777" w:rsidTr="000F0BB5">
        <w:tc>
          <w:tcPr>
            <w:tcW w:w="3870" w:type="dxa"/>
          </w:tcPr>
          <w:p w14:paraId="1F26632E" w14:textId="77777777" w:rsidR="00817D02" w:rsidRPr="000F0BB5" w:rsidRDefault="00817D02"/>
        </w:tc>
        <w:tc>
          <w:tcPr>
            <w:tcW w:w="270" w:type="dxa"/>
          </w:tcPr>
          <w:p w14:paraId="1EB7A43E" w14:textId="77777777" w:rsidR="00817D02" w:rsidRPr="000F0BB5" w:rsidRDefault="00817D02"/>
        </w:tc>
        <w:tc>
          <w:tcPr>
            <w:tcW w:w="5210" w:type="dxa"/>
          </w:tcPr>
          <w:p w14:paraId="0624B1C6" w14:textId="40E69474" w:rsidR="00817D02" w:rsidRPr="000F0BB5" w:rsidRDefault="00817D02">
            <w:pPr>
              <w:rPr>
                <w:bCs/>
              </w:rPr>
            </w:pPr>
            <w:r w:rsidRPr="000F0BB5">
              <w:rPr>
                <w:b/>
              </w:rPr>
              <w:t>Email:</w:t>
            </w:r>
            <w:r w:rsidRPr="000F0BB5">
              <w:rPr>
                <w:bCs/>
              </w:rPr>
              <w:t xml:space="preserve"> </w:t>
            </w:r>
            <w:r w:rsidR="000D20DB" w:rsidRPr="000D20DB">
              <w:rPr>
                <w:rFonts w:eastAsia="Times New Roman"/>
                <w:color w:val="000000"/>
              </w:rPr>
              <w:t>myoung@delaplainefoundation.org</w:t>
            </w:r>
          </w:p>
        </w:tc>
      </w:tr>
    </w:tbl>
    <w:p w14:paraId="40740A72" w14:textId="1E7DC094" w:rsidR="00E45F33" w:rsidRPr="000F0BB5" w:rsidRDefault="000F0BB5" w:rsidP="000F0BB5">
      <w:pPr>
        <w:spacing w:before="720" w:after="240"/>
        <w:jc w:val="center"/>
        <w:rPr>
          <w:b/>
          <w:bCs/>
          <w:sz w:val="24"/>
          <w:szCs w:val="24"/>
        </w:rPr>
      </w:pPr>
      <w:r w:rsidRPr="000F0BB5">
        <w:rPr>
          <w:b/>
          <w:bCs/>
          <w:sz w:val="24"/>
          <w:szCs w:val="24"/>
        </w:rPr>
        <w:t>FREDERICK COUNTY PHILANTHROPIES REPORT ON $14 MILLION IN GRANTS MADE IN 2020</w:t>
      </w:r>
    </w:p>
    <w:p w14:paraId="6CE994CF" w14:textId="5766FF43" w:rsidR="003D4185" w:rsidRDefault="000F0BB5" w:rsidP="000F0BB5">
      <w:pPr>
        <w:spacing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>[FREDERICK, MARYLAND, SEPTEMBER 2021]</w:t>
      </w:r>
      <w:r>
        <w:rPr>
          <w:sz w:val="24"/>
          <w:szCs w:val="24"/>
        </w:rPr>
        <w:t xml:space="preserve"> – Eleven major funders of nonprofits and community organizations in Frederick County, Maryland have released </w:t>
      </w:r>
      <w:r w:rsidR="0021260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report based on sharing their grantmaking data using a common coding system. </w:t>
      </w:r>
      <w:r w:rsidR="003D4185">
        <w:rPr>
          <w:sz w:val="24"/>
          <w:szCs w:val="24"/>
        </w:rPr>
        <w:t xml:space="preserve">These eleven funders include: Ausherman Family Foundation, The Community Foundation of Frederick County, Delaplaine Foundation, Inc., Frederick County Government, Helen J. </w:t>
      </w:r>
      <w:proofErr w:type="spellStart"/>
      <w:r w:rsidR="003D4185">
        <w:rPr>
          <w:sz w:val="24"/>
          <w:szCs w:val="24"/>
        </w:rPr>
        <w:t>Serini</w:t>
      </w:r>
      <w:proofErr w:type="spellEnd"/>
      <w:r w:rsidR="003D4185">
        <w:rPr>
          <w:sz w:val="24"/>
          <w:szCs w:val="24"/>
        </w:rPr>
        <w:t xml:space="preserve"> Foundation, The </w:t>
      </w:r>
      <w:proofErr w:type="spellStart"/>
      <w:r w:rsidR="003D4185">
        <w:rPr>
          <w:sz w:val="24"/>
          <w:szCs w:val="24"/>
        </w:rPr>
        <w:t>Kahlert</w:t>
      </w:r>
      <w:proofErr w:type="spellEnd"/>
      <w:r w:rsidR="003D4185">
        <w:rPr>
          <w:sz w:val="24"/>
          <w:szCs w:val="24"/>
        </w:rPr>
        <w:t xml:space="preserve"> Foundation, </w:t>
      </w:r>
      <w:proofErr w:type="spellStart"/>
      <w:r w:rsidR="003D4185">
        <w:rPr>
          <w:sz w:val="24"/>
          <w:szCs w:val="24"/>
        </w:rPr>
        <w:t>Loats</w:t>
      </w:r>
      <w:proofErr w:type="spellEnd"/>
      <w:r w:rsidR="003D4185">
        <w:rPr>
          <w:sz w:val="24"/>
          <w:szCs w:val="24"/>
        </w:rPr>
        <w:t xml:space="preserve"> Foundations Inc., The Will Group Foundation, Inc., United Way of Frederick County, William E. Cross Foundation, and The Women’s Giving Circle of Frederick County.</w:t>
      </w:r>
    </w:p>
    <w:p w14:paraId="6D71EC3E" w14:textId="512AAADC" w:rsidR="000F0BB5" w:rsidRDefault="0021260C" w:rsidP="000F0BB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This is the first time that comprehensive data about </w:t>
      </w:r>
      <w:r w:rsidR="00B40A1D">
        <w:rPr>
          <w:sz w:val="24"/>
          <w:szCs w:val="24"/>
        </w:rPr>
        <w:t xml:space="preserve">the combined activities of these eleven funders has been available for analysis. </w:t>
      </w:r>
      <w:r w:rsidR="000F0BB5">
        <w:rPr>
          <w:sz w:val="24"/>
          <w:szCs w:val="24"/>
        </w:rPr>
        <w:t>The report details the purposes to which nearly $14 million in grants went in calendar year 2020.</w:t>
      </w:r>
    </w:p>
    <w:p w14:paraId="6B12DC0F" w14:textId="041CED9E" w:rsidR="0021260C" w:rsidRDefault="0021260C" w:rsidP="000F0BB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Among the key findings in the report are the following:</w:t>
      </w:r>
    </w:p>
    <w:p w14:paraId="64D47CB8" w14:textId="7CAED304" w:rsidR="0021260C" w:rsidRDefault="0021260C" w:rsidP="0021260C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>Approximately $2 million of the $14 million was for emergency purposes related to the COVID-19 pandemic.</w:t>
      </w:r>
      <w:r w:rsidR="00437192" w:rsidRPr="00437192">
        <w:rPr>
          <w:sz w:val="24"/>
          <w:szCs w:val="24"/>
        </w:rPr>
        <w:t xml:space="preserve"> </w:t>
      </w:r>
      <w:r w:rsidR="00437192">
        <w:rPr>
          <w:sz w:val="24"/>
          <w:szCs w:val="24"/>
        </w:rPr>
        <w:t>These funds are in addition to $3.5</w:t>
      </w:r>
      <w:r w:rsidR="00281945">
        <w:rPr>
          <w:sz w:val="24"/>
          <w:szCs w:val="24"/>
        </w:rPr>
        <w:t xml:space="preserve"> million</w:t>
      </w:r>
      <w:r w:rsidR="00437192">
        <w:rPr>
          <w:sz w:val="24"/>
          <w:szCs w:val="24"/>
        </w:rPr>
        <w:t xml:space="preserve"> of Coronavirus Relief Funds provided by Frederick County Government to nonprofits, which is not included in this report.</w:t>
      </w:r>
    </w:p>
    <w:p w14:paraId="57EDBE6B" w14:textId="24F22CD6" w:rsidR="0021260C" w:rsidRPr="0021260C" w:rsidRDefault="0021260C" w:rsidP="002126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260C">
        <w:rPr>
          <w:sz w:val="24"/>
          <w:szCs w:val="24"/>
        </w:rPr>
        <w:t>About 47% of all spending in 2020 went to support nonprofits and community groups engaged with issues of poverty in Frederick County.</w:t>
      </w:r>
      <w:r w:rsidR="005F2CB2">
        <w:rPr>
          <w:sz w:val="24"/>
          <w:szCs w:val="24"/>
        </w:rPr>
        <w:t xml:space="preserve"> </w:t>
      </w:r>
    </w:p>
    <w:p w14:paraId="06233042" w14:textId="3A800F6D" w:rsidR="0021260C" w:rsidRDefault="0021260C" w:rsidP="0021260C">
      <w:pPr>
        <w:pStyle w:val="ListParagraph"/>
        <w:numPr>
          <w:ilvl w:val="0"/>
          <w:numId w:val="1"/>
        </w:num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The breakdown of grants by topics/issues receiving total funding in 2020 above $100,000 </w:t>
      </w:r>
      <w:r w:rsidR="00B40A1D">
        <w:rPr>
          <w:sz w:val="24"/>
          <w:szCs w:val="24"/>
        </w:rPr>
        <w:t>shows that about half of all grants went to organizations involved with providing human needs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30"/>
        <w:gridCol w:w="1350"/>
        <w:gridCol w:w="1350"/>
        <w:gridCol w:w="1260"/>
      </w:tblGrid>
      <w:tr w:rsidR="0021260C" w:rsidRPr="002055B1" w14:paraId="460C0970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A0D95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0C48" w14:textId="77777777" w:rsidR="0021260C" w:rsidRPr="0021260C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60C">
              <w:rPr>
                <w:rFonts w:ascii="Calibri" w:hAnsi="Calibri" w:cs="Calibri"/>
                <w:b/>
                <w:bCs/>
                <w:color w:val="000000"/>
              </w:rPr>
              <w:t>Total Grants</w:t>
            </w:r>
          </w:p>
        </w:tc>
      </w:tr>
      <w:tr w:rsidR="0021260C" w:rsidRPr="002055B1" w14:paraId="6DC1DD87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2DB16" w14:textId="77777777" w:rsidR="0021260C" w:rsidRPr="0021260C" w:rsidRDefault="0021260C" w:rsidP="002126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1260C">
              <w:rPr>
                <w:rFonts w:ascii="Calibri" w:hAnsi="Calibri" w:cs="Calibri"/>
                <w:b/>
                <w:bCs/>
                <w:color w:val="000000"/>
              </w:rPr>
              <w:t>Topic/Issue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D2E" w14:textId="77777777" w:rsidR="0021260C" w:rsidRPr="0021260C" w:rsidRDefault="0021260C" w:rsidP="002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60C">
              <w:rPr>
                <w:rFonts w:ascii="Calibri" w:hAnsi="Calibri" w:cs="Calibri"/>
                <w:b/>
                <w:bCs/>
                <w:color w:val="000000"/>
              </w:rPr>
              <w:t>Regular Grants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706" w14:textId="77777777" w:rsidR="0021260C" w:rsidRPr="0021260C" w:rsidRDefault="0021260C" w:rsidP="002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60C">
              <w:rPr>
                <w:rFonts w:ascii="Calibri" w:hAnsi="Calibri" w:cs="Calibri"/>
                <w:b/>
                <w:bCs/>
                <w:color w:val="000000"/>
              </w:rPr>
              <w:t>COVID-19 Emergency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7A7" w14:textId="77777777" w:rsidR="0021260C" w:rsidRPr="0021260C" w:rsidRDefault="0021260C" w:rsidP="00212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1260C"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</w:tr>
      <w:tr w:rsidR="0021260C" w:rsidRPr="002055B1" w14:paraId="31790309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868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Human Needs - All Categories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B12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$5,918,309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A7C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$1,418,719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2AF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$7,337,028 </w:t>
            </w:r>
          </w:p>
        </w:tc>
      </w:tr>
      <w:tr w:rsidR="0021260C" w:rsidRPr="002055B1" w14:paraId="627CE1FD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37C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Education - All Categories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CE6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$2,139,685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DE1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$145,000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0FC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$2,284,685 </w:t>
            </w:r>
          </w:p>
        </w:tc>
      </w:tr>
      <w:tr w:rsidR="0021260C" w:rsidRPr="002055B1" w14:paraId="1DB00F52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D38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Community Development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647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$1,295,450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23A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$29,000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C39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$1,324,450 </w:t>
            </w:r>
          </w:p>
        </w:tc>
      </w:tr>
      <w:tr w:rsidR="0021260C" w:rsidRPr="002055B1" w14:paraId="65A4D115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181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Arts and Culture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4A2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$986,805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91D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$98,210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B91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$1,085,015 </w:t>
            </w:r>
          </w:p>
        </w:tc>
      </w:tr>
      <w:tr w:rsidR="0021260C" w:rsidRPr="002055B1" w14:paraId="11D1A51E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070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Personal Development Non-Athletic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269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$484,909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B60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$98,017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1490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$582,926 </w:t>
            </w:r>
          </w:p>
        </w:tc>
      </w:tr>
      <w:tr w:rsidR="0021260C" w:rsidRPr="002055B1" w14:paraId="23530D77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A58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Religion and Spirituality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F85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$539,564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B14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F56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$539,564 </w:t>
            </w:r>
          </w:p>
        </w:tc>
      </w:tr>
      <w:tr w:rsidR="0021260C" w:rsidRPr="002055B1" w14:paraId="036825AD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30D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Public Services - All Categories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4E0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$251,925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655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65D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$251,925 </w:t>
            </w:r>
          </w:p>
        </w:tc>
      </w:tr>
      <w:tr w:rsidR="0021260C" w:rsidRPr="002055B1" w14:paraId="2133519D" w14:textId="77777777" w:rsidTr="0021260C">
        <w:trPr>
          <w:trHeight w:val="290"/>
          <w:jc w:val="center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2F0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>Historic Preservation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87A7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$219,598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309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$20,000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34A" w14:textId="77777777" w:rsidR="0021260C" w:rsidRPr="002055B1" w:rsidRDefault="0021260C" w:rsidP="00FE6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055B1">
              <w:rPr>
                <w:rFonts w:ascii="Calibri" w:hAnsi="Calibri" w:cs="Calibri"/>
                <w:color w:val="000000"/>
              </w:rPr>
              <w:t xml:space="preserve">$239,598 </w:t>
            </w:r>
          </w:p>
        </w:tc>
      </w:tr>
    </w:tbl>
    <w:p w14:paraId="1418CFC5" w14:textId="5783DF36" w:rsidR="0021260C" w:rsidRDefault="0021260C" w:rsidP="0021260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The report also references several recent needs assessments for Frederick County to identify potential gaps in the combined funding priorities of the participating funders. Among the </w:t>
      </w:r>
      <w:r>
        <w:rPr>
          <w:sz w:val="24"/>
          <w:szCs w:val="24"/>
        </w:rPr>
        <w:lastRenderedPageBreak/>
        <w:t>findings are noteworthy gaps related to support for infants and young children, mental/behavioral health and substance use, and persons over the age of 80.</w:t>
      </w:r>
    </w:p>
    <w:p w14:paraId="54364392" w14:textId="4C6648C6" w:rsidR="0021260C" w:rsidRDefault="0021260C" w:rsidP="0021260C">
      <w:pPr>
        <w:spacing w:before="240" w:after="0"/>
        <w:jc w:val="center"/>
        <w:rPr>
          <w:sz w:val="24"/>
          <w:szCs w:val="24"/>
        </w:rPr>
      </w:pPr>
      <w:r>
        <w:rPr>
          <w:sz w:val="24"/>
          <w:szCs w:val="24"/>
        </w:rPr>
        <w:t>###</w:t>
      </w:r>
    </w:p>
    <w:p w14:paraId="4A5AA685" w14:textId="7F0D976C" w:rsidR="00456841" w:rsidRDefault="0021260C" w:rsidP="0021260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If you would like more information about the grantmaking report, please call </w:t>
      </w:r>
      <w:r w:rsidR="00815A77">
        <w:rPr>
          <w:sz w:val="24"/>
          <w:szCs w:val="24"/>
        </w:rPr>
        <w:t>Marlene Young</w:t>
      </w:r>
      <w:r>
        <w:rPr>
          <w:sz w:val="24"/>
          <w:szCs w:val="24"/>
        </w:rPr>
        <w:t xml:space="preserve"> at </w:t>
      </w:r>
      <w:r w:rsidR="00815A77" w:rsidRPr="00815A77">
        <w:rPr>
          <w:rFonts w:cstheme="minorHAnsi"/>
          <w:color w:val="201F1E"/>
          <w:sz w:val="24"/>
          <w:szCs w:val="24"/>
        </w:rPr>
        <w:t>301.662.2753</w:t>
      </w:r>
      <w:r w:rsidR="00815A77">
        <w:rPr>
          <w:rFonts w:ascii="Times New Roman" w:hAnsi="Times New Roman" w:cs="Times New Roman"/>
          <w:i/>
          <w:iCs/>
          <w:color w:val="201F1E"/>
        </w:rPr>
        <w:t xml:space="preserve"> </w:t>
      </w:r>
      <w:r>
        <w:rPr>
          <w:sz w:val="24"/>
          <w:szCs w:val="24"/>
        </w:rPr>
        <w:t xml:space="preserve">or </w:t>
      </w:r>
      <w:r w:rsidRPr="00815A77">
        <w:rPr>
          <w:sz w:val="24"/>
          <w:szCs w:val="24"/>
        </w:rPr>
        <w:t xml:space="preserve">email </w:t>
      </w:r>
      <w:r w:rsidR="000D20DB" w:rsidRPr="000D20DB">
        <w:rPr>
          <w:rFonts w:eastAsia="Times New Roman"/>
          <w:color w:val="000000"/>
          <w:sz w:val="24"/>
          <w:szCs w:val="24"/>
        </w:rPr>
        <w:t>myoung@delaplainefoundation.org</w:t>
      </w:r>
      <w:r w:rsidRPr="00815A77">
        <w:rPr>
          <w:sz w:val="24"/>
          <w:szCs w:val="24"/>
        </w:rPr>
        <w:t>.</w:t>
      </w:r>
    </w:p>
    <w:p w14:paraId="64E9D947" w14:textId="01015333" w:rsidR="00456841" w:rsidRPr="00815A77" w:rsidRDefault="00456841" w:rsidP="00456841">
      <w:pPr>
        <w:rPr>
          <w:sz w:val="24"/>
          <w:szCs w:val="24"/>
        </w:rPr>
      </w:pPr>
    </w:p>
    <w:p w14:paraId="7F450094" w14:textId="77777777" w:rsidR="00456841" w:rsidRPr="00456841" w:rsidRDefault="00456841" w:rsidP="00456841">
      <w:pPr>
        <w:rPr>
          <w:rFonts w:cstheme="minorHAnsi"/>
          <w:sz w:val="24"/>
          <w:szCs w:val="24"/>
        </w:rPr>
      </w:pPr>
    </w:p>
    <w:p w14:paraId="6299DB16" w14:textId="77777777" w:rsidR="00456841" w:rsidRPr="000F0BB5" w:rsidRDefault="00456841" w:rsidP="0021260C">
      <w:pPr>
        <w:spacing w:before="240" w:after="0"/>
        <w:rPr>
          <w:sz w:val="24"/>
          <w:szCs w:val="24"/>
        </w:rPr>
      </w:pPr>
    </w:p>
    <w:sectPr w:rsidR="00456841" w:rsidRPr="000F0BB5" w:rsidSect="00B40A1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16B4"/>
    <w:multiLevelType w:val="hybridMultilevel"/>
    <w:tmpl w:val="69FC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02"/>
    <w:rsid w:val="000C6D1D"/>
    <w:rsid w:val="000D20DB"/>
    <w:rsid w:val="000F0BB5"/>
    <w:rsid w:val="00135FB8"/>
    <w:rsid w:val="001B77AA"/>
    <w:rsid w:val="0021260C"/>
    <w:rsid w:val="00281945"/>
    <w:rsid w:val="00326328"/>
    <w:rsid w:val="00355338"/>
    <w:rsid w:val="003D4185"/>
    <w:rsid w:val="00437192"/>
    <w:rsid w:val="00456841"/>
    <w:rsid w:val="005B559F"/>
    <w:rsid w:val="005F2CB2"/>
    <w:rsid w:val="00627B3D"/>
    <w:rsid w:val="00792350"/>
    <w:rsid w:val="00815A77"/>
    <w:rsid w:val="00817D02"/>
    <w:rsid w:val="009252B1"/>
    <w:rsid w:val="00B33219"/>
    <w:rsid w:val="00B40A1D"/>
    <w:rsid w:val="00C410CB"/>
    <w:rsid w:val="00E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CE65"/>
  <w15:chartTrackingRefBased/>
  <w15:docId w15:val="{F054B990-1F34-4989-AED3-81914068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60C"/>
    <w:pPr>
      <w:ind w:left="720"/>
      <w:contextualSpacing/>
    </w:pPr>
  </w:style>
  <w:style w:type="paragraph" w:styleId="Revision">
    <w:name w:val="Revision"/>
    <w:hidden/>
    <w:uiPriority w:val="99"/>
    <w:semiHidden/>
    <w:rsid w:val="00B332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6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Devereux</dc:creator>
  <cp:keywords/>
  <dc:description/>
  <cp:lastModifiedBy>Maya Diggs</cp:lastModifiedBy>
  <cp:revision>2</cp:revision>
  <dcterms:created xsi:type="dcterms:W3CDTF">2021-11-03T15:33:00Z</dcterms:created>
  <dcterms:modified xsi:type="dcterms:W3CDTF">2021-11-03T15:33:00Z</dcterms:modified>
</cp:coreProperties>
</file>